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EC27D" w14:textId="77777777" w:rsidR="00E21B49" w:rsidRDefault="00E21B49">
      <w:pPr>
        <w:spacing w:line="83" w:lineRule="exact"/>
        <w:rPr>
          <w:sz w:val="24"/>
          <w:szCs w:val="24"/>
        </w:rPr>
      </w:pPr>
      <w:bookmarkStart w:id="0" w:name="page1"/>
      <w:bookmarkEnd w:id="0"/>
    </w:p>
    <w:p w14:paraId="2B381B9E" w14:textId="77777777" w:rsidR="00E21B49" w:rsidRDefault="00000000">
      <w:pPr>
        <w:spacing w:line="276" w:lineRule="auto"/>
        <w:ind w:left="1900" w:right="440"/>
        <w:jc w:val="center"/>
        <w:rPr>
          <w:sz w:val="20"/>
          <w:szCs w:val="20"/>
        </w:rPr>
      </w:pPr>
      <w:r>
        <w:rPr>
          <w:rFonts w:ascii="Arial" w:eastAsia="Arial" w:hAnsi="Arial" w:cs="Arial"/>
          <w:sz w:val="28"/>
          <w:szCs w:val="28"/>
        </w:rPr>
        <w:t>ANNEX D - SPECIMEN PACKAGING, MARKING &amp; LABELLING AND DOCUMENTATION INSTRUCTIONS</w:t>
      </w:r>
    </w:p>
    <w:p w14:paraId="22883D97" w14:textId="77777777" w:rsidR="00E21B49" w:rsidRDefault="00E21B49">
      <w:pPr>
        <w:spacing w:line="283" w:lineRule="exact"/>
        <w:rPr>
          <w:sz w:val="24"/>
          <w:szCs w:val="24"/>
        </w:rPr>
      </w:pPr>
    </w:p>
    <w:p w14:paraId="5FAF7E61" w14:textId="77777777" w:rsidR="00E21B49" w:rsidRDefault="00000000">
      <w:pPr>
        <w:numPr>
          <w:ilvl w:val="0"/>
          <w:numId w:val="1"/>
        </w:numPr>
        <w:tabs>
          <w:tab w:val="left" w:pos="1080"/>
        </w:tabs>
        <w:spacing w:line="274" w:lineRule="auto"/>
        <w:ind w:left="1080" w:right="1560" w:hanging="720"/>
        <w:rPr>
          <w:rFonts w:ascii="Arial" w:eastAsia="Arial" w:hAnsi="Arial" w:cs="Arial"/>
          <w:sz w:val="24"/>
          <w:szCs w:val="24"/>
        </w:rPr>
      </w:pPr>
      <w:r>
        <w:rPr>
          <w:rFonts w:ascii="Arial" w:eastAsia="Arial" w:hAnsi="Arial" w:cs="Arial"/>
          <w:sz w:val="24"/>
          <w:szCs w:val="24"/>
        </w:rPr>
        <w:t>CLASSIFICATION OF INFECTIOUS SUBSTANCES FOR SHIPMENT</w:t>
      </w:r>
    </w:p>
    <w:p w14:paraId="6A9035BD" w14:textId="77777777" w:rsidR="00E21B49" w:rsidRDefault="00E21B49">
      <w:pPr>
        <w:spacing w:line="277" w:lineRule="exact"/>
        <w:rPr>
          <w:sz w:val="24"/>
          <w:szCs w:val="24"/>
        </w:rPr>
      </w:pPr>
    </w:p>
    <w:p w14:paraId="396A8015" w14:textId="77777777" w:rsidR="00E21B49" w:rsidRDefault="00000000">
      <w:pPr>
        <w:spacing w:line="284" w:lineRule="auto"/>
        <w:ind w:left="360" w:right="540"/>
        <w:rPr>
          <w:sz w:val="20"/>
          <w:szCs w:val="20"/>
        </w:rPr>
      </w:pPr>
      <w:r>
        <w:rPr>
          <w:rFonts w:ascii="Arial" w:eastAsia="Arial" w:hAnsi="Arial" w:cs="Arial"/>
          <w:sz w:val="20"/>
          <w:szCs w:val="20"/>
        </w:rPr>
        <w:t>Under the current United Nations Regulations (2003), infectious substances are classified according to two transportation categories based on a detailed, case-by-case, risk assessment of microorganisms known to be pathogens. The new transport categories are:</w:t>
      </w:r>
    </w:p>
    <w:p w14:paraId="45C07919" w14:textId="77777777" w:rsidR="00E21B49" w:rsidRDefault="00E21B49">
      <w:pPr>
        <w:spacing w:line="260" w:lineRule="exact"/>
        <w:rPr>
          <w:sz w:val="24"/>
          <w:szCs w:val="24"/>
        </w:rPr>
      </w:pPr>
    </w:p>
    <w:p w14:paraId="03F29B43" w14:textId="77777777" w:rsidR="00E21B49" w:rsidRDefault="00000000">
      <w:pPr>
        <w:ind w:left="360"/>
        <w:rPr>
          <w:sz w:val="20"/>
          <w:szCs w:val="20"/>
        </w:rPr>
      </w:pPr>
      <w:r>
        <w:rPr>
          <w:rFonts w:ascii="Arial" w:eastAsia="Arial" w:hAnsi="Arial" w:cs="Arial"/>
          <w:sz w:val="20"/>
          <w:szCs w:val="20"/>
          <w:u w:val="single"/>
        </w:rPr>
        <w:t>Category A:</w:t>
      </w:r>
    </w:p>
    <w:p w14:paraId="0D3B1164" w14:textId="77777777" w:rsidR="00E21B49" w:rsidRDefault="00E21B49">
      <w:pPr>
        <w:spacing w:line="313" w:lineRule="exact"/>
        <w:rPr>
          <w:sz w:val="24"/>
          <w:szCs w:val="24"/>
        </w:rPr>
      </w:pPr>
    </w:p>
    <w:p w14:paraId="2E16D7B6" w14:textId="77777777" w:rsidR="00E21B49" w:rsidRDefault="00000000">
      <w:pPr>
        <w:spacing w:line="290" w:lineRule="auto"/>
        <w:ind w:left="360" w:right="460"/>
        <w:rPr>
          <w:sz w:val="20"/>
          <w:szCs w:val="20"/>
        </w:rPr>
      </w:pPr>
      <w:r>
        <w:rPr>
          <w:rFonts w:ascii="Arial" w:eastAsia="Arial" w:hAnsi="Arial" w:cs="Arial"/>
          <w:sz w:val="20"/>
          <w:szCs w:val="20"/>
        </w:rPr>
        <w:t>An infectious substance which is transported in a form that, when exposure to it occurs, is capable of causing permanent disability, life-threatening or fatal disease to humans. These substances are given the shipping name of “Infectious substances affecting humans” and the UN Shipping Number: UN 2814. Category A substances are to be packed in accordance with International Air Transport Association (IATA) Dangerous Goods Packaging Instructions PI 602.</w:t>
      </w:r>
    </w:p>
    <w:p w14:paraId="3D5E254D" w14:textId="77777777" w:rsidR="00E21B49" w:rsidRDefault="00E21B49">
      <w:pPr>
        <w:spacing w:line="200" w:lineRule="exact"/>
        <w:rPr>
          <w:sz w:val="24"/>
          <w:szCs w:val="24"/>
        </w:rPr>
      </w:pPr>
    </w:p>
    <w:p w14:paraId="5FC9E00D" w14:textId="77777777" w:rsidR="00E21B49" w:rsidRDefault="00E21B49">
      <w:pPr>
        <w:spacing w:line="325" w:lineRule="exact"/>
        <w:rPr>
          <w:sz w:val="24"/>
          <w:szCs w:val="24"/>
        </w:rPr>
      </w:pPr>
    </w:p>
    <w:p w14:paraId="5EA52DD5" w14:textId="77777777" w:rsidR="00E21B49" w:rsidRDefault="00000000">
      <w:pPr>
        <w:ind w:left="360"/>
        <w:rPr>
          <w:sz w:val="20"/>
          <w:szCs w:val="20"/>
        </w:rPr>
      </w:pPr>
      <w:r>
        <w:rPr>
          <w:rFonts w:ascii="Arial" w:eastAsia="Arial" w:hAnsi="Arial" w:cs="Arial"/>
          <w:sz w:val="20"/>
          <w:szCs w:val="20"/>
          <w:u w:val="single"/>
        </w:rPr>
        <w:t>Category B:</w:t>
      </w:r>
    </w:p>
    <w:p w14:paraId="01DC3FCA" w14:textId="77777777" w:rsidR="00E21B49" w:rsidRDefault="00E21B49">
      <w:pPr>
        <w:spacing w:line="313" w:lineRule="exact"/>
        <w:rPr>
          <w:sz w:val="24"/>
          <w:szCs w:val="24"/>
        </w:rPr>
      </w:pPr>
    </w:p>
    <w:p w14:paraId="7987E213" w14:textId="77777777" w:rsidR="00E21B49" w:rsidRDefault="00000000">
      <w:pPr>
        <w:spacing w:line="286" w:lineRule="auto"/>
        <w:ind w:left="360" w:right="480"/>
        <w:rPr>
          <w:sz w:val="20"/>
          <w:szCs w:val="20"/>
        </w:rPr>
      </w:pPr>
      <w:r>
        <w:rPr>
          <w:rFonts w:ascii="Arial" w:eastAsia="Arial" w:hAnsi="Arial" w:cs="Arial"/>
          <w:sz w:val="20"/>
          <w:szCs w:val="20"/>
        </w:rPr>
        <w:t>Any infectious substance, which does not meet the criteria for inclusion in category A. Clinical/diagnostic specimens from patients when testing for polio, measles and rubella are classified as Category B under the UN Model Regulations. Category B substances are to be packed in accordance with IATA Dangerous Goods Packaging Instructions PI 650</w:t>
      </w:r>
    </w:p>
    <w:p w14:paraId="6CF8EDDC" w14:textId="77777777" w:rsidR="00E21B49" w:rsidRDefault="00E21B49">
      <w:pPr>
        <w:spacing w:line="296" w:lineRule="exact"/>
        <w:rPr>
          <w:sz w:val="24"/>
          <w:szCs w:val="24"/>
        </w:rPr>
      </w:pPr>
    </w:p>
    <w:p w14:paraId="24CA048A" w14:textId="77777777" w:rsidR="00E21B49" w:rsidRDefault="00000000">
      <w:pPr>
        <w:spacing w:line="287" w:lineRule="auto"/>
        <w:ind w:left="360" w:right="620"/>
        <w:rPr>
          <w:sz w:val="20"/>
          <w:szCs w:val="20"/>
        </w:rPr>
      </w:pPr>
      <w:r>
        <w:rPr>
          <w:rFonts w:ascii="Arial" w:eastAsia="Arial" w:hAnsi="Arial" w:cs="Arial"/>
          <w:sz w:val="20"/>
          <w:szCs w:val="20"/>
        </w:rPr>
        <w:t>Category B substances are given the shipping name of “Diagnostic Specimens”, “Clinical Specimens”, or “Biological substance, category B” and the UN Shipping Number: UN 3373. [Note on 1 January 2007, it is anticipated that the use of the shipping names “diagnostic specimens” and “clinical specimens” will no longer be permitted]</w:t>
      </w:r>
    </w:p>
    <w:p w14:paraId="751CE018" w14:textId="77777777" w:rsidR="00E21B49" w:rsidRDefault="00E21B49">
      <w:pPr>
        <w:spacing w:line="294" w:lineRule="exact"/>
        <w:rPr>
          <w:sz w:val="24"/>
          <w:szCs w:val="24"/>
        </w:rPr>
      </w:pPr>
    </w:p>
    <w:p w14:paraId="6FCE013C" w14:textId="77777777" w:rsidR="00E21B49" w:rsidRDefault="00000000">
      <w:pPr>
        <w:spacing w:line="284" w:lineRule="auto"/>
        <w:ind w:left="360" w:right="500"/>
        <w:jc w:val="both"/>
        <w:rPr>
          <w:sz w:val="20"/>
          <w:szCs w:val="20"/>
        </w:rPr>
      </w:pPr>
      <w:r>
        <w:rPr>
          <w:rFonts w:ascii="Arial" w:eastAsia="Arial" w:hAnsi="Arial" w:cs="Arial"/>
          <w:sz w:val="20"/>
          <w:szCs w:val="20"/>
        </w:rPr>
        <w:t>Note that for the US Associated Territories, more stringent packaging instructions maybe be followed and these countries should be guided by recommendations from their Regional Laboratory Coordinator.</w:t>
      </w:r>
    </w:p>
    <w:p w14:paraId="4D125933" w14:textId="77777777" w:rsidR="00E21B49" w:rsidRDefault="00E21B49">
      <w:pPr>
        <w:spacing w:line="270" w:lineRule="exact"/>
        <w:rPr>
          <w:sz w:val="24"/>
          <w:szCs w:val="24"/>
        </w:rPr>
      </w:pPr>
    </w:p>
    <w:p w14:paraId="53F4E3DA" w14:textId="77777777" w:rsidR="00E21B49" w:rsidRDefault="00000000">
      <w:pPr>
        <w:numPr>
          <w:ilvl w:val="0"/>
          <w:numId w:val="2"/>
        </w:numPr>
        <w:tabs>
          <w:tab w:val="left" w:pos="1080"/>
        </w:tabs>
        <w:ind w:left="1080" w:hanging="720"/>
        <w:rPr>
          <w:rFonts w:ascii="Arial" w:eastAsia="Arial" w:hAnsi="Arial" w:cs="Arial"/>
          <w:sz w:val="24"/>
          <w:szCs w:val="24"/>
        </w:rPr>
      </w:pPr>
      <w:r>
        <w:rPr>
          <w:rFonts w:ascii="Arial" w:eastAsia="Arial" w:hAnsi="Arial" w:cs="Arial"/>
          <w:sz w:val="24"/>
          <w:szCs w:val="24"/>
        </w:rPr>
        <w:t>REDUCING RISK – APPROPRIATE PACKAGING</w:t>
      </w:r>
    </w:p>
    <w:p w14:paraId="74D5F25E" w14:textId="77777777" w:rsidR="00E21B49" w:rsidRDefault="00E21B49">
      <w:pPr>
        <w:spacing w:line="337" w:lineRule="exact"/>
        <w:rPr>
          <w:sz w:val="24"/>
          <w:szCs w:val="24"/>
        </w:rPr>
      </w:pPr>
    </w:p>
    <w:p w14:paraId="4EBFE7A0" w14:textId="77777777" w:rsidR="00E21B49" w:rsidRDefault="00000000">
      <w:pPr>
        <w:spacing w:line="288" w:lineRule="auto"/>
        <w:ind w:left="360" w:right="480"/>
        <w:rPr>
          <w:sz w:val="20"/>
          <w:szCs w:val="20"/>
        </w:rPr>
      </w:pPr>
      <w:r>
        <w:rPr>
          <w:rFonts w:ascii="Arial" w:eastAsia="Arial" w:hAnsi="Arial" w:cs="Arial"/>
          <w:sz w:val="20"/>
          <w:szCs w:val="20"/>
        </w:rPr>
        <w:t>Appropriate packaging can reduce the risks to those engaged in the transport of infectious substances, as it provides the necessary and sufficient barriers to prevent leakage of the material to the outside. For the packing of both Category A and B substances, a 3-part (or triple) system of packaging is used, that comprises a primary receptacle, secondary packaging and rigid outer packaging. The use of triple packaging has over the years provided effective containment of infectious substances.</w:t>
      </w:r>
    </w:p>
    <w:p w14:paraId="3325B91F" w14:textId="77777777" w:rsidR="00E21B49" w:rsidRDefault="00E21B49">
      <w:pPr>
        <w:sectPr w:rsidR="00E21B49">
          <w:pgSz w:w="12240" w:h="15840"/>
          <w:pgMar w:top="1440" w:right="1440" w:bottom="1440" w:left="1440" w:header="0" w:footer="0" w:gutter="0"/>
          <w:cols w:space="720" w:equalWidth="0">
            <w:col w:w="9360"/>
          </w:cols>
        </w:sectPr>
      </w:pPr>
    </w:p>
    <w:p w14:paraId="493BA57D" w14:textId="77777777" w:rsidR="00E21B49" w:rsidRDefault="00E21B49">
      <w:pPr>
        <w:spacing w:line="57" w:lineRule="exact"/>
        <w:rPr>
          <w:sz w:val="20"/>
          <w:szCs w:val="20"/>
        </w:rPr>
      </w:pPr>
      <w:bookmarkStart w:id="1" w:name="page2"/>
      <w:bookmarkEnd w:id="1"/>
    </w:p>
    <w:p w14:paraId="10489457" w14:textId="77777777" w:rsidR="00E21B49" w:rsidRDefault="00000000">
      <w:pPr>
        <w:spacing w:line="288" w:lineRule="auto"/>
        <w:ind w:left="360" w:right="360"/>
        <w:rPr>
          <w:sz w:val="20"/>
          <w:szCs w:val="20"/>
        </w:rPr>
      </w:pPr>
      <w:r>
        <w:rPr>
          <w:rFonts w:ascii="Arial" w:eastAsia="Arial" w:hAnsi="Arial" w:cs="Arial"/>
          <w:sz w:val="20"/>
          <w:szCs w:val="20"/>
        </w:rPr>
        <w:t>WHO has supplied shipping containers for all Hospital Based Reporting Sites in the Pacific. The smaller containers (HazPak) comply with IATA PI 650 and can only be used to transport Category B substances. The larger containers (Bio-Bottle) comply with IATA PI 602 and can be used to transport both Category A and B substances. WHO recommends that these containers be used for all shipments to laboratories when countries need to test both stool and blood samples for polio, measles or rubella.</w:t>
      </w:r>
    </w:p>
    <w:p w14:paraId="4B6F7E9C" w14:textId="77777777" w:rsidR="00E21B49" w:rsidRDefault="00E21B49">
      <w:pPr>
        <w:spacing w:line="265" w:lineRule="exact"/>
        <w:rPr>
          <w:sz w:val="20"/>
          <w:szCs w:val="20"/>
        </w:rPr>
      </w:pPr>
    </w:p>
    <w:p w14:paraId="0F58F892" w14:textId="77777777" w:rsidR="00E21B49" w:rsidRDefault="00000000">
      <w:pPr>
        <w:numPr>
          <w:ilvl w:val="0"/>
          <w:numId w:val="3"/>
        </w:numPr>
        <w:tabs>
          <w:tab w:val="left" w:pos="1080"/>
        </w:tabs>
        <w:ind w:left="1080" w:hanging="720"/>
        <w:rPr>
          <w:rFonts w:ascii="Arial" w:eastAsia="Arial" w:hAnsi="Arial" w:cs="Arial"/>
          <w:sz w:val="24"/>
          <w:szCs w:val="24"/>
        </w:rPr>
      </w:pPr>
      <w:r>
        <w:rPr>
          <w:rFonts w:ascii="Arial" w:eastAsia="Arial" w:hAnsi="Arial" w:cs="Arial"/>
          <w:sz w:val="24"/>
          <w:szCs w:val="24"/>
        </w:rPr>
        <w:t>PACKING INSTRUCTION</w:t>
      </w:r>
    </w:p>
    <w:p w14:paraId="6344C0F8" w14:textId="77777777" w:rsidR="00E21B49" w:rsidRDefault="00E21B49">
      <w:pPr>
        <w:spacing w:line="329" w:lineRule="exact"/>
        <w:rPr>
          <w:sz w:val="20"/>
          <w:szCs w:val="20"/>
        </w:rPr>
      </w:pPr>
    </w:p>
    <w:p w14:paraId="5FABD251" w14:textId="77777777" w:rsidR="00E21B49" w:rsidRDefault="00000000">
      <w:pPr>
        <w:ind w:left="360"/>
        <w:rPr>
          <w:sz w:val="20"/>
          <w:szCs w:val="20"/>
        </w:rPr>
      </w:pPr>
      <w:r>
        <w:rPr>
          <w:rFonts w:ascii="Arial" w:eastAsia="Arial" w:hAnsi="Arial" w:cs="Arial"/>
          <w:sz w:val="20"/>
          <w:szCs w:val="20"/>
          <w:u w:val="single"/>
        </w:rPr>
        <w:t>PI 650 – Category B Substances</w:t>
      </w:r>
    </w:p>
    <w:p w14:paraId="5DB060AA" w14:textId="77777777" w:rsidR="00E21B49" w:rsidRDefault="00E21B49">
      <w:pPr>
        <w:spacing w:line="311" w:lineRule="exact"/>
        <w:rPr>
          <w:sz w:val="20"/>
          <w:szCs w:val="20"/>
        </w:rPr>
      </w:pPr>
    </w:p>
    <w:p w14:paraId="52794188" w14:textId="77777777" w:rsidR="00E21B49" w:rsidRDefault="00000000">
      <w:pPr>
        <w:spacing w:line="290" w:lineRule="auto"/>
        <w:ind w:left="360" w:right="440"/>
        <w:rPr>
          <w:sz w:val="20"/>
          <w:szCs w:val="20"/>
        </w:rPr>
      </w:pPr>
      <w:r>
        <w:rPr>
          <w:rFonts w:ascii="Arial" w:eastAsia="Arial" w:hAnsi="Arial" w:cs="Arial"/>
          <w:sz w:val="20"/>
          <w:szCs w:val="20"/>
        </w:rPr>
        <w:t>When shipping Category B substances [except where local airlines require all specimens to be sent as PI 602], please use the HazPak (or similar) shipping containers supplied by WHO. Shippers of Category B substances must comply with the requirements below and ensure that shipments are prepared in such a manner that they arrive at their destination in good condition and that they present no hazard to persons during shipment. The packing conditions are:</w:t>
      </w:r>
    </w:p>
    <w:p w14:paraId="10D3EE34" w14:textId="77777777" w:rsidR="00E21B49" w:rsidRDefault="00E21B49">
      <w:pPr>
        <w:spacing w:line="200" w:lineRule="exact"/>
        <w:rPr>
          <w:sz w:val="20"/>
          <w:szCs w:val="20"/>
        </w:rPr>
      </w:pPr>
    </w:p>
    <w:p w14:paraId="2D65F4AB" w14:textId="77777777" w:rsidR="00E21B49" w:rsidRDefault="00E21B49">
      <w:pPr>
        <w:spacing w:line="366" w:lineRule="exact"/>
        <w:rPr>
          <w:sz w:val="20"/>
          <w:szCs w:val="20"/>
        </w:rPr>
      </w:pPr>
    </w:p>
    <w:p w14:paraId="3B680B4E" w14:textId="77777777" w:rsidR="00E21B49" w:rsidRDefault="00000000">
      <w:pPr>
        <w:numPr>
          <w:ilvl w:val="0"/>
          <w:numId w:val="4"/>
        </w:numPr>
        <w:tabs>
          <w:tab w:val="left" w:pos="1080"/>
        </w:tabs>
        <w:spacing w:line="275" w:lineRule="auto"/>
        <w:ind w:left="360" w:right="1180"/>
        <w:rPr>
          <w:rFonts w:ascii="Arial" w:eastAsia="Arial" w:hAnsi="Arial" w:cs="Arial"/>
          <w:sz w:val="20"/>
          <w:szCs w:val="20"/>
        </w:rPr>
      </w:pPr>
      <w:r>
        <w:rPr>
          <w:rFonts w:ascii="Arial" w:eastAsia="Arial" w:hAnsi="Arial" w:cs="Arial"/>
          <w:sz w:val="20"/>
          <w:szCs w:val="20"/>
        </w:rPr>
        <w:t>For liquid substances (e.g. blood or serum specimens for measles/rubella testing)</w:t>
      </w:r>
    </w:p>
    <w:p w14:paraId="2186783E" w14:textId="77777777" w:rsidR="00E21B49" w:rsidRDefault="00E21B49">
      <w:pPr>
        <w:spacing w:line="145" w:lineRule="exact"/>
        <w:rPr>
          <w:rFonts w:ascii="Arial" w:eastAsia="Arial" w:hAnsi="Arial" w:cs="Arial"/>
          <w:sz w:val="20"/>
          <w:szCs w:val="20"/>
        </w:rPr>
      </w:pPr>
    </w:p>
    <w:p w14:paraId="3EBFB23F" w14:textId="77777777" w:rsidR="00E21B49" w:rsidRDefault="00000000">
      <w:pPr>
        <w:spacing w:line="404" w:lineRule="auto"/>
        <w:ind w:left="1080" w:right="640"/>
        <w:rPr>
          <w:rFonts w:ascii="Arial" w:eastAsia="Arial" w:hAnsi="Arial" w:cs="Arial"/>
          <w:sz w:val="20"/>
          <w:szCs w:val="20"/>
        </w:rPr>
      </w:pPr>
      <w:r>
        <w:rPr>
          <w:rFonts w:ascii="Arial" w:eastAsia="Arial" w:hAnsi="Arial" w:cs="Arial"/>
          <w:sz w:val="20"/>
          <w:szCs w:val="20"/>
        </w:rPr>
        <w:t>The primary receptacle(s) must be leak-proof and must not contain more than 1 L; The secondary packaging must be leak-proof;</w:t>
      </w:r>
    </w:p>
    <w:p w14:paraId="5B25FEEA" w14:textId="77777777" w:rsidR="00E21B49" w:rsidRDefault="00E21B49">
      <w:pPr>
        <w:spacing w:line="22" w:lineRule="exact"/>
        <w:rPr>
          <w:rFonts w:ascii="Arial" w:eastAsia="Arial" w:hAnsi="Arial" w:cs="Arial"/>
          <w:sz w:val="20"/>
          <w:szCs w:val="20"/>
        </w:rPr>
      </w:pPr>
    </w:p>
    <w:p w14:paraId="5BB143A7" w14:textId="77777777" w:rsidR="00E21B49" w:rsidRDefault="00000000">
      <w:pPr>
        <w:spacing w:line="282" w:lineRule="auto"/>
        <w:ind w:left="1080" w:right="500" w:firstLine="7"/>
        <w:rPr>
          <w:rFonts w:ascii="Arial" w:eastAsia="Arial" w:hAnsi="Arial" w:cs="Arial"/>
          <w:sz w:val="20"/>
          <w:szCs w:val="20"/>
        </w:rPr>
      </w:pPr>
      <w:r>
        <w:rPr>
          <w:rFonts w:ascii="Arial" w:eastAsia="Arial" w:hAnsi="Arial" w:cs="Arial"/>
          <w:sz w:val="20"/>
          <w:szCs w:val="20"/>
        </w:rPr>
        <w:t>If multiple primary receptacles are placed in a single secondary packaging, they must be either individually wrapped or separated to prevent contact between them;</w:t>
      </w:r>
    </w:p>
    <w:p w14:paraId="3A7D460B" w14:textId="77777777" w:rsidR="00E21B49" w:rsidRDefault="00E21B49">
      <w:pPr>
        <w:spacing w:line="138" w:lineRule="exact"/>
        <w:rPr>
          <w:rFonts w:ascii="Arial" w:eastAsia="Arial" w:hAnsi="Arial" w:cs="Arial"/>
          <w:sz w:val="20"/>
          <w:szCs w:val="20"/>
        </w:rPr>
      </w:pPr>
    </w:p>
    <w:p w14:paraId="72F4EECE" w14:textId="77777777" w:rsidR="00E21B49" w:rsidRDefault="00000000">
      <w:pPr>
        <w:spacing w:line="284" w:lineRule="auto"/>
        <w:ind w:left="1080" w:right="920" w:firstLine="7"/>
        <w:rPr>
          <w:rFonts w:ascii="Arial" w:eastAsia="Arial" w:hAnsi="Arial" w:cs="Arial"/>
          <w:sz w:val="20"/>
          <w:szCs w:val="20"/>
        </w:rPr>
      </w:pPr>
      <w:r>
        <w:rPr>
          <w:rFonts w:ascii="Arial" w:eastAsia="Arial" w:hAnsi="Arial" w:cs="Arial"/>
          <w:sz w:val="20"/>
          <w:szCs w:val="20"/>
        </w:rPr>
        <w:t>Absorbent material must be placed between the primary receptacle and the secondary packaging. The absorbent material, such as cotton wool, must be in sufficient quantity to absorb the entire contents of the primary receptacle(s);</w:t>
      </w:r>
    </w:p>
    <w:p w14:paraId="397A5ABC" w14:textId="77777777" w:rsidR="00E21B49" w:rsidRDefault="00E21B49">
      <w:pPr>
        <w:spacing w:line="286" w:lineRule="exact"/>
        <w:rPr>
          <w:rFonts w:ascii="Arial" w:eastAsia="Arial" w:hAnsi="Arial" w:cs="Arial"/>
          <w:sz w:val="20"/>
          <w:szCs w:val="20"/>
        </w:rPr>
      </w:pPr>
    </w:p>
    <w:p w14:paraId="25F7A88D" w14:textId="77777777" w:rsidR="00E21B49" w:rsidRDefault="00000000">
      <w:pPr>
        <w:numPr>
          <w:ilvl w:val="0"/>
          <w:numId w:val="4"/>
        </w:numPr>
        <w:tabs>
          <w:tab w:val="left" w:pos="1080"/>
        </w:tabs>
        <w:ind w:left="1080" w:hanging="720"/>
        <w:rPr>
          <w:rFonts w:ascii="Arial" w:eastAsia="Arial" w:hAnsi="Arial" w:cs="Arial"/>
          <w:sz w:val="20"/>
          <w:szCs w:val="20"/>
        </w:rPr>
      </w:pPr>
      <w:r>
        <w:rPr>
          <w:rFonts w:ascii="Arial" w:eastAsia="Arial" w:hAnsi="Arial" w:cs="Arial"/>
          <w:sz w:val="20"/>
          <w:szCs w:val="20"/>
        </w:rPr>
        <w:t>For solid substances (e.g. Stool samples for AFP testing)</w:t>
      </w:r>
    </w:p>
    <w:p w14:paraId="290A034A" w14:textId="77777777" w:rsidR="00E21B49" w:rsidRDefault="00E21B49">
      <w:pPr>
        <w:spacing w:line="179" w:lineRule="exact"/>
        <w:rPr>
          <w:rFonts w:ascii="Arial" w:eastAsia="Arial" w:hAnsi="Arial" w:cs="Arial"/>
          <w:sz w:val="20"/>
          <w:szCs w:val="20"/>
        </w:rPr>
      </w:pPr>
    </w:p>
    <w:p w14:paraId="002CEE1A" w14:textId="77777777" w:rsidR="00E21B49" w:rsidRDefault="00000000">
      <w:pPr>
        <w:spacing w:line="407" w:lineRule="auto"/>
        <w:ind w:left="1080" w:right="660"/>
        <w:rPr>
          <w:rFonts w:ascii="Arial" w:eastAsia="Arial" w:hAnsi="Arial" w:cs="Arial"/>
          <w:sz w:val="20"/>
          <w:szCs w:val="20"/>
        </w:rPr>
      </w:pPr>
      <w:r>
        <w:rPr>
          <w:rFonts w:ascii="Arial" w:eastAsia="Arial" w:hAnsi="Arial" w:cs="Arial"/>
          <w:sz w:val="20"/>
          <w:szCs w:val="20"/>
        </w:rPr>
        <w:t>The primary receptacle(s) must be sift-proof, to retain the specimen at all times; The secondary packaging must be sift-proof to retain the specimen at all times;</w:t>
      </w:r>
    </w:p>
    <w:p w14:paraId="56B7021B" w14:textId="77777777" w:rsidR="00E21B49" w:rsidRDefault="00E21B49">
      <w:pPr>
        <w:spacing w:line="19" w:lineRule="exact"/>
        <w:rPr>
          <w:rFonts w:ascii="Arial" w:eastAsia="Arial" w:hAnsi="Arial" w:cs="Arial"/>
          <w:sz w:val="20"/>
          <w:szCs w:val="20"/>
        </w:rPr>
      </w:pPr>
    </w:p>
    <w:p w14:paraId="45D8BB86" w14:textId="77777777" w:rsidR="00E21B49" w:rsidRDefault="00000000">
      <w:pPr>
        <w:spacing w:line="279" w:lineRule="auto"/>
        <w:ind w:left="1080" w:right="500" w:firstLine="7"/>
        <w:rPr>
          <w:rFonts w:ascii="Arial" w:eastAsia="Arial" w:hAnsi="Arial" w:cs="Arial"/>
          <w:sz w:val="20"/>
          <w:szCs w:val="20"/>
        </w:rPr>
      </w:pPr>
      <w:r>
        <w:rPr>
          <w:rFonts w:ascii="Arial" w:eastAsia="Arial" w:hAnsi="Arial" w:cs="Arial"/>
          <w:sz w:val="20"/>
          <w:szCs w:val="20"/>
        </w:rPr>
        <w:t>If multiple primary receptacles are placed in a single secondary packaging, they must be either individually wrapped or separated to prevent contact between them;</w:t>
      </w:r>
    </w:p>
    <w:p w14:paraId="269ED341" w14:textId="77777777" w:rsidR="00E21B49" w:rsidRDefault="00E21B49">
      <w:pPr>
        <w:spacing w:line="142" w:lineRule="exact"/>
        <w:rPr>
          <w:rFonts w:ascii="Arial" w:eastAsia="Arial" w:hAnsi="Arial" w:cs="Arial"/>
          <w:sz w:val="20"/>
          <w:szCs w:val="20"/>
        </w:rPr>
      </w:pPr>
    </w:p>
    <w:p w14:paraId="361B3AB5" w14:textId="77777777" w:rsidR="00E21B49" w:rsidRDefault="00000000">
      <w:pPr>
        <w:spacing w:line="285" w:lineRule="auto"/>
        <w:ind w:left="1080" w:right="600" w:firstLine="7"/>
        <w:rPr>
          <w:rFonts w:ascii="Arial" w:eastAsia="Arial" w:hAnsi="Arial" w:cs="Arial"/>
          <w:sz w:val="20"/>
          <w:szCs w:val="20"/>
        </w:rPr>
      </w:pPr>
      <w:r>
        <w:rPr>
          <w:rFonts w:ascii="Arial" w:eastAsia="Arial" w:hAnsi="Arial" w:cs="Arial"/>
          <w:sz w:val="20"/>
          <w:szCs w:val="20"/>
        </w:rPr>
        <w:t>If there is any doubt as to whether or not residual liquid may be present in the primary receptacle during transport then a packaging suitable for liquids, including absorbent materials, must be used.</w:t>
      </w:r>
    </w:p>
    <w:p w14:paraId="4DA80047" w14:textId="77777777" w:rsidR="00E21B49" w:rsidRDefault="00E21B49">
      <w:pPr>
        <w:spacing w:line="294" w:lineRule="exact"/>
        <w:rPr>
          <w:sz w:val="20"/>
          <w:szCs w:val="20"/>
        </w:rPr>
      </w:pPr>
    </w:p>
    <w:p w14:paraId="411F8B6B" w14:textId="77777777" w:rsidR="00E21B49" w:rsidRDefault="00000000">
      <w:pPr>
        <w:spacing w:line="286" w:lineRule="auto"/>
        <w:ind w:left="360" w:right="700"/>
        <w:jc w:val="both"/>
        <w:rPr>
          <w:sz w:val="20"/>
          <w:szCs w:val="20"/>
        </w:rPr>
      </w:pPr>
      <w:r>
        <w:rPr>
          <w:rFonts w:ascii="Arial" w:eastAsia="Arial" w:hAnsi="Arial" w:cs="Arial"/>
          <w:sz w:val="20"/>
          <w:szCs w:val="20"/>
        </w:rPr>
        <w:t>An itemized list of contents must be enclosed between the secondary packaging and the outer packaging for all PI 650 shipments. Seal the list in a plastic bag to avoid the paper becoming wet from condensation.</w:t>
      </w:r>
    </w:p>
    <w:p w14:paraId="723469BA" w14:textId="77777777" w:rsidR="00E21B49" w:rsidRDefault="00E21B49">
      <w:pPr>
        <w:spacing w:line="294" w:lineRule="exact"/>
        <w:rPr>
          <w:sz w:val="20"/>
          <w:szCs w:val="20"/>
        </w:rPr>
      </w:pPr>
    </w:p>
    <w:p w14:paraId="5FC8E6F3" w14:textId="77777777" w:rsidR="00E21B49" w:rsidRDefault="00000000">
      <w:pPr>
        <w:spacing w:line="279" w:lineRule="auto"/>
        <w:ind w:left="360" w:right="560"/>
        <w:rPr>
          <w:sz w:val="20"/>
          <w:szCs w:val="20"/>
        </w:rPr>
      </w:pPr>
      <w:r>
        <w:rPr>
          <w:rFonts w:ascii="Arial" w:eastAsia="Arial" w:hAnsi="Arial" w:cs="Arial"/>
          <w:sz w:val="20"/>
          <w:szCs w:val="20"/>
        </w:rPr>
        <w:t>Wet ice or prefrozen packs when used in a shipment must be placed outside the secondary container packaging(s) or alternatively in an overpack with one or more complete packages</w:t>
      </w:r>
    </w:p>
    <w:p w14:paraId="3950E526" w14:textId="77777777" w:rsidR="00E21B49" w:rsidRDefault="00E21B49">
      <w:pPr>
        <w:sectPr w:rsidR="00E21B49">
          <w:pgSz w:w="12240" w:h="15840"/>
          <w:pgMar w:top="1440" w:right="1440" w:bottom="855" w:left="1440" w:header="0" w:footer="0" w:gutter="0"/>
          <w:cols w:space="720" w:equalWidth="0">
            <w:col w:w="9360"/>
          </w:cols>
        </w:sectPr>
      </w:pPr>
    </w:p>
    <w:p w14:paraId="6F73B9B8" w14:textId="77777777" w:rsidR="00E21B49" w:rsidRDefault="00E21B49">
      <w:pPr>
        <w:spacing w:line="57" w:lineRule="exact"/>
        <w:rPr>
          <w:sz w:val="20"/>
          <w:szCs w:val="20"/>
        </w:rPr>
      </w:pPr>
      <w:bookmarkStart w:id="2" w:name="page3"/>
      <w:bookmarkEnd w:id="2"/>
    </w:p>
    <w:p w14:paraId="45A8BCA8" w14:textId="77777777" w:rsidR="00E21B49" w:rsidRDefault="00000000">
      <w:pPr>
        <w:spacing w:line="279" w:lineRule="auto"/>
        <w:ind w:left="360" w:right="660"/>
        <w:rPr>
          <w:sz w:val="20"/>
          <w:szCs w:val="20"/>
        </w:rPr>
      </w:pPr>
      <w:r>
        <w:rPr>
          <w:rFonts w:ascii="Arial" w:eastAsia="Arial" w:hAnsi="Arial" w:cs="Arial"/>
          <w:sz w:val="20"/>
          <w:szCs w:val="20"/>
        </w:rPr>
        <w:t>marked in accordance for that type of shipment. If wet ice is used it should be in a leak-proof container and the outer packaging must also be leak-proof.</w:t>
      </w:r>
    </w:p>
    <w:p w14:paraId="755A59C3" w14:textId="77777777" w:rsidR="00E21B49" w:rsidRDefault="00E21B49">
      <w:pPr>
        <w:spacing w:line="297" w:lineRule="exact"/>
        <w:rPr>
          <w:sz w:val="20"/>
          <w:szCs w:val="20"/>
        </w:rPr>
      </w:pPr>
    </w:p>
    <w:p w14:paraId="26327ACA" w14:textId="77777777" w:rsidR="00E21B49" w:rsidRDefault="00000000">
      <w:pPr>
        <w:numPr>
          <w:ilvl w:val="0"/>
          <w:numId w:val="5"/>
        </w:numPr>
        <w:tabs>
          <w:tab w:val="left" w:pos="1080"/>
        </w:tabs>
        <w:ind w:left="1080" w:hanging="720"/>
        <w:rPr>
          <w:rFonts w:ascii="Arial" w:eastAsia="Arial" w:hAnsi="Arial" w:cs="Arial"/>
          <w:sz w:val="24"/>
          <w:szCs w:val="24"/>
        </w:rPr>
      </w:pPr>
      <w:r>
        <w:rPr>
          <w:rFonts w:ascii="Arial" w:eastAsia="Arial" w:hAnsi="Arial" w:cs="Arial"/>
          <w:sz w:val="24"/>
          <w:szCs w:val="24"/>
        </w:rPr>
        <w:t>MARKING AND LABELING</w:t>
      </w:r>
    </w:p>
    <w:p w14:paraId="799D4F0D" w14:textId="77777777" w:rsidR="00E21B49" w:rsidRDefault="00E21B49">
      <w:pPr>
        <w:spacing w:line="315" w:lineRule="exact"/>
        <w:rPr>
          <w:sz w:val="20"/>
          <w:szCs w:val="20"/>
        </w:rPr>
      </w:pPr>
    </w:p>
    <w:p w14:paraId="22EEA45B" w14:textId="77777777" w:rsidR="00E21B49" w:rsidRDefault="00000000">
      <w:pPr>
        <w:spacing w:line="287" w:lineRule="auto"/>
        <w:ind w:left="360" w:right="480"/>
        <w:rPr>
          <w:sz w:val="20"/>
          <w:szCs w:val="20"/>
        </w:rPr>
      </w:pPr>
      <w:r>
        <w:rPr>
          <w:rFonts w:ascii="Arial" w:eastAsia="Arial" w:hAnsi="Arial" w:cs="Arial"/>
          <w:sz w:val="20"/>
          <w:szCs w:val="20"/>
        </w:rPr>
        <w:t>Labels and marking on the packaging are an essential source of information to communicate to everyone involved in the transportation process the contents of the package, the nature of the hazard and the applied packaging standards. Most “certified” shipping containers (e.g. Bio-Bottle) already include the appropriate labels and markings as part of the package.</w:t>
      </w:r>
    </w:p>
    <w:p w14:paraId="3823E9A3" w14:textId="77777777" w:rsidR="00E21B49" w:rsidRDefault="00E21B49">
      <w:pPr>
        <w:spacing w:line="268" w:lineRule="exact"/>
        <w:rPr>
          <w:sz w:val="20"/>
          <w:szCs w:val="20"/>
        </w:rPr>
      </w:pPr>
    </w:p>
    <w:p w14:paraId="54C6DCFE" w14:textId="77777777" w:rsidR="00E21B49" w:rsidRDefault="00000000">
      <w:pPr>
        <w:spacing w:line="299" w:lineRule="auto"/>
        <w:ind w:left="360" w:right="600"/>
        <w:jc w:val="both"/>
        <w:rPr>
          <w:sz w:val="20"/>
          <w:szCs w:val="20"/>
        </w:rPr>
      </w:pPr>
      <w:r>
        <w:rPr>
          <w:rFonts w:ascii="Arial" w:eastAsia="Arial" w:hAnsi="Arial" w:cs="Arial"/>
          <w:sz w:val="20"/>
          <w:szCs w:val="20"/>
        </w:rPr>
        <w:t>All markings must be placed on the packaging so that they are not covered or obscured by any part of, or attachment to the packaging, or any other labels or markings. All markings must be:</w:t>
      </w:r>
    </w:p>
    <w:p w14:paraId="6C18E0C0" w14:textId="77777777" w:rsidR="00E21B49" w:rsidRDefault="00E21B49">
      <w:pPr>
        <w:spacing w:line="200" w:lineRule="exact"/>
        <w:rPr>
          <w:sz w:val="20"/>
          <w:szCs w:val="20"/>
        </w:rPr>
      </w:pPr>
    </w:p>
    <w:p w14:paraId="117315D9" w14:textId="77777777" w:rsidR="00E21B49" w:rsidRDefault="00E21B49">
      <w:pPr>
        <w:spacing w:line="343" w:lineRule="exact"/>
        <w:rPr>
          <w:sz w:val="20"/>
          <w:szCs w:val="20"/>
        </w:rPr>
      </w:pPr>
    </w:p>
    <w:p w14:paraId="0719CF1F" w14:textId="77777777" w:rsidR="00E21B49" w:rsidRDefault="00000000">
      <w:pPr>
        <w:numPr>
          <w:ilvl w:val="0"/>
          <w:numId w:val="6"/>
        </w:numPr>
        <w:tabs>
          <w:tab w:val="left" w:pos="1080"/>
        </w:tabs>
        <w:spacing w:line="279" w:lineRule="auto"/>
        <w:ind w:left="1080" w:right="520" w:hanging="720"/>
        <w:rPr>
          <w:rFonts w:ascii="Arial" w:eastAsia="Arial" w:hAnsi="Arial" w:cs="Arial"/>
          <w:sz w:val="20"/>
          <w:szCs w:val="20"/>
        </w:rPr>
      </w:pPr>
      <w:r>
        <w:rPr>
          <w:rFonts w:ascii="Arial" w:eastAsia="Arial" w:hAnsi="Arial" w:cs="Arial"/>
          <w:sz w:val="20"/>
          <w:szCs w:val="20"/>
        </w:rPr>
        <w:t>durable and printed or otherwise marked on, or affixed to, the external surface of the packaging or overpack</w:t>
      </w:r>
    </w:p>
    <w:p w14:paraId="042B8EF7" w14:textId="77777777" w:rsidR="00E21B49" w:rsidRDefault="00E21B49">
      <w:pPr>
        <w:spacing w:line="131" w:lineRule="exact"/>
        <w:rPr>
          <w:rFonts w:ascii="Arial" w:eastAsia="Arial" w:hAnsi="Arial" w:cs="Arial"/>
          <w:sz w:val="20"/>
          <w:szCs w:val="20"/>
        </w:rPr>
      </w:pPr>
    </w:p>
    <w:p w14:paraId="16183DC6" w14:textId="77777777" w:rsidR="00E21B49" w:rsidRDefault="00000000">
      <w:pPr>
        <w:numPr>
          <w:ilvl w:val="0"/>
          <w:numId w:val="6"/>
        </w:numPr>
        <w:tabs>
          <w:tab w:val="left" w:pos="1080"/>
        </w:tabs>
        <w:ind w:left="1080" w:hanging="720"/>
        <w:rPr>
          <w:rFonts w:ascii="Arial" w:eastAsia="Arial" w:hAnsi="Arial" w:cs="Arial"/>
          <w:sz w:val="20"/>
          <w:szCs w:val="20"/>
        </w:rPr>
      </w:pPr>
      <w:r>
        <w:rPr>
          <w:rFonts w:ascii="Arial" w:eastAsia="Arial" w:hAnsi="Arial" w:cs="Arial"/>
          <w:sz w:val="20"/>
          <w:szCs w:val="20"/>
        </w:rPr>
        <w:t>readily visible and legible</w:t>
      </w:r>
    </w:p>
    <w:p w14:paraId="3B069691" w14:textId="77777777" w:rsidR="00E21B49" w:rsidRDefault="00E21B49">
      <w:pPr>
        <w:spacing w:line="179" w:lineRule="exact"/>
        <w:rPr>
          <w:rFonts w:ascii="Arial" w:eastAsia="Arial" w:hAnsi="Arial" w:cs="Arial"/>
          <w:sz w:val="20"/>
          <w:szCs w:val="20"/>
        </w:rPr>
      </w:pPr>
    </w:p>
    <w:p w14:paraId="06CB1704" w14:textId="77777777" w:rsidR="00E21B49" w:rsidRDefault="00000000">
      <w:pPr>
        <w:numPr>
          <w:ilvl w:val="0"/>
          <w:numId w:val="6"/>
        </w:numPr>
        <w:tabs>
          <w:tab w:val="left" w:pos="1082"/>
        </w:tabs>
        <w:spacing w:line="279" w:lineRule="auto"/>
        <w:ind w:left="1080" w:right="1420" w:hanging="720"/>
        <w:rPr>
          <w:rFonts w:ascii="Arial" w:eastAsia="Arial" w:hAnsi="Arial" w:cs="Arial"/>
          <w:sz w:val="20"/>
          <w:szCs w:val="20"/>
        </w:rPr>
      </w:pPr>
      <w:r>
        <w:rPr>
          <w:rFonts w:ascii="Arial" w:eastAsia="Arial" w:hAnsi="Arial" w:cs="Arial"/>
          <w:sz w:val="20"/>
          <w:szCs w:val="20"/>
        </w:rPr>
        <w:t>able to withstand open weather exposure without substantial reduction in effectiveness;</w:t>
      </w:r>
    </w:p>
    <w:p w14:paraId="383E9BDE" w14:textId="77777777" w:rsidR="00E21B49" w:rsidRDefault="00E21B49">
      <w:pPr>
        <w:spacing w:line="131" w:lineRule="exact"/>
        <w:rPr>
          <w:rFonts w:ascii="Arial" w:eastAsia="Arial" w:hAnsi="Arial" w:cs="Arial"/>
          <w:sz w:val="20"/>
          <w:szCs w:val="20"/>
        </w:rPr>
      </w:pPr>
    </w:p>
    <w:p w14:paraId="54EE5BF4" w14:textId="77777777" w:rsidR="00E21B49" w:rsidRDefault="00000000">
      <w:pPr>
        <w:numPr>
          <w:ilvl w:val="0"/>
          <w:numId w:val="6"/>
        </w:numPr>
        <w:tabs>
          <w:tab w:val="left" w:pos="1080"/>
        </w:tabs>
        <w:ind w:left="1080" w:hanging="720"/>
        <w:rPr>
          <w:rFonts w:ascii="Arial" w:eastAsia="Arial" w:hAnsi="Arial" w:cs="Arial"/>
          <w:sz w:val="20"/>
          <w:szCs w:val="20"/>
        </w:rPr>
      </w:pPr>
      <w:r>
        <w:rPr>
          <w:rFonts w:ascii="Arial" w:eastAsia="Arial" w:hAnsi="Arial" w:cs="Arial"/>
          <w:sz w:val="20"/>
          <w:szCs w:val="20"/>
        </w:rPr>
        <w:t>displayed on a background of contrasting colors</w:t>
      </w:r>
    </w:p>
    <w:p w14:paraId="574A8458" w14:textId="77777777" w:rsidR="00E21B49" w:rsidRDefault="00E21B49">
      <w:pPr>
        <w:spacing w:line="303" w:lineRule="exact"/>
        <w:rPr>
          <w:sz w:val="20"/>
          <w:szCs w:val="20"/>
        </w:rPr>
      </w:pPr>
    </w:p>
    <w:p w14:paraId="60C4029A" w14:textId="77777777" w:rsidR="00E21B49" w:rsidRDefault="00000000">
      <w:pPr>
        <w:tabs>
          <w:tab w:val="left" w:pos="1060"/>
        </w:tabs>
        <w:ind w:left="360"/>
        <w:rPr>
          <w:sz w:val="20"/>
          <w:szCs w:val="20"/>
        </w:rPr>
      </w:pPr>
      <w:r>
        <w:rPr>
          <w:rFonts w:ascii="Arial" w:eastAsia="Arial" w:hAnsi="Arial" w:cs="Arial"/>
          <w:sz w:val="20"/>
          <w:szCs w:val="20"/>
        </w:rPr>
        <w:t>4.1</w:t>
      </w:r>
      <w:r>
        <w:rPr>
          <w:sz w:val="20"/>
          <w:szCs w:val="20"/>
        </w:rPr>
        <w:tab/>
      </w:r>
      <w:r>
        <w:rPr>
          <w:rFonts w:ascii="Arial" w:eastAsia="Arial" w:hAnsi="Arial" w:cs="Arial"/>
          <w:sz w:val="20"/>
          <w:szCs w:val="20"/>
        </w:rPr>
        <w:t>Category B – PI 650</w:t>
      </w:r>
    </w:p>
    <w:p w14:paraId="5AA4B798" w14:textId="77777777" w:rsidR="00E21B49" w:rsidRDefault="00E21B49">
      <w:pPr>
        <w:spacing w:line="311" w:lineRule="exact"/>
        <w:rPr>
          <w:sz w:val="20"/>
          <w:szCs w:val="20"/>
        </w:rPr>
      </w:pPr>
    </w:p>
    <w:p w14:paraId="7C242066" w14:textId="77777777" w:rsidR="00E21B49" w:rsidRDefault="00000000">
      <w:pPr>
        <w:spacing w:line="279" w:lineRule="auto"/>
        <w:ind w:left="360" w:right="920"/>
        <w:rPr>
          <w:sz w:val="20"/>
          <w:szCs w:val="20"/>
        </w:rPr>
      </w:pPr>
      <w:r>
        <w:rPr>
          <w:rFonts w:ascii="Arial" w:eastAsia="Arial" w:hAnsi="Arial" w:cs="Arial"/>
          <w:sz w:val="20"/>
          <w:szCs w:val="20"/>
        </w:rPr>
        <w:t>Each package containing diagnostic (or clinical) specimens must be marked, durably and legibly on the outside of the package with each of the following:</w:t>
      </w:r>
    </w:p>
    <w:p w14:paraId="10FBF5A0" w14:textId="77777777" w:rsidR="00E21B49" w:rsidRDefault="00E21B49">
      <w:pPr>
        <w:spacing w:line="303" w:lineRule="exact"/>
        <w:rPr>
          <w:sz w:val="20"/>
          <w:szCs w:val="20"/>
        </w:rPr>
      </w:pPr>
    </w:p>
    <w:p w14:paraId="2D0AA550" w14:textId="77777777" w:rsidR="00E21B49" w:rsidRDefault="00000000">
      <w:pPr>
        <w:numPr>
          <w:ilvl w:val="0"/>
          <w:numId w:val="7"/>
        </w:numPr>
        <w:tabs>
          <w:tab w:val="left" w:pos="1080"/>
        </w:tabs>
        <w:spacing w:line="286" w:lineRule="auto"/>
        <w:ind w:left="1080" w:right="440" w:hanging="720"/>
        <w:rPr>
          <w:rFonts w:ascii="Arial" w:eastAsia="Arial" w:hAnsi="Arial" w:cs="Arial"/>
          <w:sz w:val="20"/>
          <w:szCs w:val="20"/>
        </w:rPr>
      </w:pPr>
      <w:r>
        <w:rPr>
          <w:rFonts w:ascii="Arial" w:eastAsia="Arial" w:hAnsi="Arial" w:cs="Arial"/>
          <w:sz w:val="20"/>
          <w:szCs w:val="20"/>
        </w:rPr>
        <w:t>The UN 3373 label must be displayed on the external surface of the outer packaging. The label must be in the form of a square set an angle of 45° (diamond-shaped) with each side having a length of at least 50 mm, the width of the line must be at least 2 mm, and the letters and numbers must be at least 6 mm high.</w:t>
      </w:r>
    </w:p>
    <w:p w14:paraId="0C74ABA8" w14:textId="77777777" w:rsidR="00E21B49" w:rsidRDefault="00E21B49">
      <w:pPr>
        <w:spacing w:line="137" w:lineRule="exact"/>
        <w:rPr>
          <w:rFonts w:ascii="Arial" w:eastAsia="Arial" w:hAnsi="Arial" w:cs="Arial"/>
          <w:sz w:val="20"/>
          <w:szCs w:val="20"/>
        </w:rPr>
      </w:pPr>
    </w:p>
    <w:p w14:paraId="72EA0B58" w14:textId="77777777" w:rsidR="00E21B49" w:rsidRDefault="00000000">
      <w:pPr>
        <w:numPr>
          <w:ilvl w:val="0"/>
          <w:numId w:val="7"/>
        </w:numPr>
        <w:tabs>
          <w:tab w:val="left" w:pos="1080"/>
        </w:tabs>
        <w:spacing w:line="284" w:lineRule="auto"/>
        <w:ind w:left="1080" w:right="580" w:hanging="720"/>
        <w:rPr>
          <w:rFonts w:ascii="Arial" w:eastAsia="Arial" w:hAnsi="Arial" w:cs="Arial"/>
          <w:sz w:val="20"/>
          <w:szCs w:val="20"/>
        </w:rPr>
      </w:pPr>
      <w:r>
        <w:rPr>
          <w:rFonts w:ascii="Arial" w:eastAsia="Arial" w:hAnsi="Arial" w:cs="Arial"/>
          <w:sz w:val="20"/>
          <w:szCs w:val="20"/>
        </w:rPr>
        <w:t>The proper shipping name “Diagnostic specimen” or “Clinical specimen” in letters at least 6mm high must be marked on the outer package adjacent to the diamond-shaped mark.</w:t>
      </w:r>
    </w:p>
    <w:p w14:paraId="17C21B78" w14:textId="77777777" w:rsidR="00E21B49" w:rsidRDefault="00000000">
      <w:pPr>
        <w:spacing w:line="20" w:lineRule="exact"/>
        <w:rPr>
          <w:sz w:val="20"/>
          <w:szCs w:val="20"/>
        </w:rPr>
      </w:pPr>
      <w:r>
        <w:rPr>
          <w:noProof/>
          <w:sz w:val="20"/>
          <w:szCs w:val="20"/>
        </w:rPr>
        <w:drawing>
          <wp:anchor distT="0" distB="0" distL="114300" distR="114300" simplePos="0" relativeHeight="251656704" behindDoc="1" locked="0" layoutInCell="0" allowOverlap="1" wp14:anchorId="3D07AD26" wp14:editId="6A8A622B">
            <wp:simplePos x="0" y="0"/>
            <wp:positionH relativeFrom="column">
              <wp:posOffset>2286000</wp:posOffset>
            </wp:positionH>
            <wp:positionV relativeFrom="paragraph">
              <wp:posOffset>-51435</wp:posOffset>
            </wp:positionV>
            <wp:extent cx="2400300" cy="730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400300" cy="730250"/>
                    </a:xfrm>
                    <a:prstGeom prst="rect">
                      <a:avLst/>
                    </a:prstGeom>
                    <a:noFill/>
                  </pic:spPr>
                </pic:pic>
              </a:graphicData>
            </a:graphic>
          </wp:anchor>
        </w:drawing>
      </w:r>
    </w:p>
    <w:p w14:paraId="0CA47EAC" w14:textId="77777777" w:rsidR="00E21B49" w:rsidRDefault="00E21B49">
      <w:pPr>
        <w:spacing w:line="269" w:lineRule="exact"/>
        <w:rPr>
          <w:sz w:val="20"/>
          <w:szCs w:val="20"/>
        </w:rPr>
      </w:pPr>
    </w:p>
    <w:p w14:paraId="1D9C492E" w14:textId="77777777" w:rsidR="00E21B49" w:rsidRDefault="00000000">
      <w:pPr>
        <w:ind w:left="360"/>
        <w:rPr>
          <w:sz w:val="20"/>
          <w:szCs w:val="20"/>
        </w:rPr>
      </w:pPr>
      <w:r>
        <w:rPr>
          <w:rFonts w:ascii="Arial" w:eastAsia="Arial" w:hAnsi="Arial" w:cs="Arial"/>
          <w:sz w:val="20"/>
          <w:szCs w:val="20"/>
        </w:rPr>
        <w:t>Example of the UN marking:</w:t>
      </w:r>
    </w:p>
    <w:p w14:paraId="0FB02223" w14:textId="77777777" w:rsidR="00E21B49" w:rsidRDefault="00000000">
      <w:pPr>
        <w:spacing w:line="20" w:lineRule="exact"/>
        <w:rPr>
          <w:sz w:val="20"/>
          <w:szCs w:val="20"/>
        </w:rPr>
      </w:pPr>
      <w:r>
        <w:rPr>
          <w:noProof/>
          <w:sz w:val="20"/>
          <w:szCs w:val="20"/>
        </w:rPr>
        <w:drawing>
          <wp:anchor distT="0" distB="0" distL="114300" distR="114300" simplePos="0" relativeHeight="251657728" behindDoc="1" locked="0" layoutInCell="0" allowOverlap="1" wp14:anchorId="59E503E1" wp14:editId="41D2BD08">
            <wp:simplePos x="0" y="0"/>
            <wp:positionH relativeFrom="column">
              <wp:posOffset>4572000</wp:posOffset>
            </wp:positionH>
            <wp:positionV relativeFrom="paragraph">
              <wp:posOffset>367030</wp:posOffset>
            </wp:positionV>
            <wp:extent cx="914400" cy="895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914400" cy="895985"/>
                    </a:xfrm>
                    <a:prstGeom prst="rect">
                      <a:avLst/>
                    </a:prstGeom>
                    <a:noFill/>
                  </pic:spPr>
                </pic:pic>
              </a:graphicData>
            </a:graphic>
          </wp:anchor>
        </w:drawing>
      </w:r>
    </w:p>
    <w:p w14:paraId="731A4392" w14:textId="77777777" w:rsidR="00E21B49" w:rsidRDefault="00E21B49">
      <w:pPr>
        <w:spacing w:line="200" w:lineRule="exact"/>
        <w:rPr>
          <w:sz w:val="20"/>
          <w:szCs w:val="20"/>
        </w:rPr>
      </w:pPr>
    </w:p>
    <w:p w14:paraId="519F3458" w14:textId="77777777" w:rsidR="00E21B49" w:rsidRDefault="00E21B49">
      <w:pPr>
        <w:spacing w:line="200" w:lineRule="exact"/>
        <w:rPr>
          <w:sz w:val="20"/>
          <w:szCs w:val="20"/>
        </w:rPr>
      </w:pPr>
    </w:p>
    <w:p w14:paraId="63A7FAFE" w14:textId="77777777" w:rsidR="00E21B49" w:rsidRDefault="00E21B49">
      <w:pPr>
        <w:spacing w:line="397" w:lineRule="exact"/>
        <w:rPr>
          <w:sz w:val="20"/>
          <w:szCs w:val="20"/>
        </w:rPr>
      </w:pPr>
    </w:p>
    <w:p w14:paraId="3E54D91C" w14:textId="77777777" w:rsidR="00E21B49" w:rsidRDefault="00000000">
      <w:pPr>
        <w:numPr>
          <w:ilvl w:val="0"/>
          <w:numId w:val="8"/>
        </w:numPr>
        <w:tabs>
          <w:tab w:val="left" w:pos="1080"/>
        </w:tabs>
        <w:spacing w:line="255" w:lineRule="auto"/>
        <w:ind w:left="1080" w:right="2780" w:hanging="720"/>
        <w:rPr>
          <w:rFonts w:ascii="Arial" w:eastAsia="Arial" w:hAnsi="Arial" w:cs="Arial"/>
        </w:rPr>
      </w:pPr>
      <w:r>
        <w:rPr>
          <w:rFonts w:ascii="Arial" w:eastAsia="Arial" w:hAnsi="Arial" w:cs="Arial"/>
          <w:sz w:val="20"/>
          <w:szCs w:val="20"/>
        </w:rPr>
        <w:t>Orientation labels are not required for shipments of diagnostic/clinical specimens but their use is recommended</w:t>
      </w:r>
    </w:p>
    <w:p w14:paraId="5819E428" w14:textId="77777777" w:rsidR="00E21B49" w:rsidRDefault="00E21B49">
      <w:pPr>
        <w:spacing w:line="200" w:lineRule="exact"/>
        <w:rPr>
          <w:rFonts w:ascii="Arial" w:eastAsia="Arial" w:hAnsi="Arial" w:cs="Arial"/>
        </w:rPr>
      </w:pPr>
    </w:p>
    <w:p w14:paraId="7452BC54" w14:textId="77777777" w:rsidR="00E21B49" w:rsidRDefault="00E21B49">
      <w:pPr>
        <w:spacing w:line="338" w:lineRule="exact"/>
        <w:rPr>
          <w:rFonts w:ascii="Arial" w:eastAsia="Arial" w:hAnsi="Arial" w:cs="Arial"/>
        </w:rPr>
      </w:pPr>
    </w:p>
    <w:p w14:paraId="250FCEA4" w14:textId="77777777" w:rsidR="00E21B49" w:rsidRDefault="00000000">
      <w:pPr>
        <w:numPr>
          <w:ilvl w:val="0"/>
          <w:numId w:val="8"/>
        </w:numPr>
        <w:tabs>
          <w:tab w:val="left" w:pos="1080"/>
        </w:tabs>
        <w:spacing w:line="279" w:lineRule="auto"/>
        <w:ind w:left="1080" w:right="3180" w:hanging="720"/>
        <w:rPr>
          <w:rFonts w:ascii="Arial" w:eastAsia="Arial" w:hAnsi="Arial" w:cs="Arial"/>
          <w:sz w:val="20"/>
          <w:szCs w:val="20"/>
        </w:rPr>
      </w:pPr>
      <w:r>
        <w:rPr>
          <w:rFonts w:ascii="Arial" w:eastAsia="Arial" w:hAnsi="Arial" w:cs="Arial"/>
          <w:sz w:val="20"/>
          <w:szCs w:val="20"/>
        </w:rPr>
        <w:t>The full NAME AND ADDRESS of the shipper and the consignee</w:t>
      </w:r>
    </w:p>
    <w:p w14:paraId="6A77213F" w14:textId="77777777" w:rsidR="00E21B49" w:rsidRDefault="00E21B49">
      <w:pPr>
        <w:sectPr w:rsidR="00E21B49">
          <w:pgSz w:w="12240" w:h="15840"/>
          <w:pgMar w:top="1440" w:right="1440" w:bottom="1440" w:left="1440" w:header="0" w:footer="0" w:gutter="0"/>
          <w:cols w:space="720" w:equalWidth="0">
            <w:col w:w="9360"/>
          </w:cols>
        </w:sectPr>
      </w:pPr>
    </w:p>
    <w:p w14:paraId="77436C83" w14:textId="77777777" w:rsidR="00E21B49" w:rsidRDefault="00E21B49">
      <w:pPr>
        <w:spacing w:line="23" w:lineRule="exact"/>
        <w:rPr>
          <w:sz w:val="20"/>
          <w:szCs w:val="20"/>
        </w:rPr>
      </w:pPr>
      <w:bookmarkStart w:id="3" w:name="page4"/>
      <w:bookmarkEnd w:id="3"/>
    </w:p>
    <w:p w14:paraId="70A6DCBE" w14:textId="77777777" w:rsidR="00E21B49" w:rsidRDefault="00000000">
      <w:pPr>
        <w:numPr>
          <w:ilvl w:val="0"/>
          <w:numId w:val="9"/>
        </w:numPr>
        <w:tabs>
          <w:tab w:val="left" w:pos="1080"/>
        </w:tabs>
        <w:spacing w:line="263" w:lineRule="auto"/>
        <w:ind w:left="1080" w:right="640" w:hanging="720"/>
        <w:rPr>
          <w:rFonts w:ascii="Arial" w:eastAsia="Arial" w:hAnsi="Arial" w:cs="Arial"/>
          <w:sz w:val="20"/>
          <w:szCs w:val="20"/>
        </w:rPr>
      </w:pPr>
      <w:r>
        <w:rPr>
          <w:rFonts w:ascii="Arial" w:eastAsia="Arial" w:hAnsi="Arial" w:cs="Arial"/>
          <w:sz w:val="20"/>
          <w:szCs w:val="20"/>
        </w:rPr>
        <w:t>Additionally, shipment containers should be marked with “Store at 4</w:t>
      </w:r>
      <w:r>
        <w:rPr>
          <w:rFonts w:ascii="Arial" w:eastAsia="Arial" w:hAnsi="Arial" w:cs="Arial"/>
          <w:sz w:val="25"/>
          <w:szCs w:val="25"/>
          <w:vertAlign w:val="superscript"/>
        </w:rPr>
        <w:t>o</w:t>
      </w:r>
      <w:r>
        <w:rPr>
          <w:rFonts w:ascii="Arial" w:eastAsia="Arial" w:hAnsi="Arial" w:cs="Arial"/>
          <w:sz w:val="20"/>
          <w:szCs w:val="20"/>
        </w:rPr>
        <w:t>C whenever possible” or similar to identify that the shipping container must be kept cool at all times</w:t>
      </w:r>
    </w:p>
    <w:p w14:paraId="4C6F484E" w14:textId="77777777" w:rsidR="00E21B49" w:rsidRDefault="00E21B49">
      <w:pPr>
        <w:spacing w:line="200" w:lineRule="exact"/>
        <w:rPr>
          <w:sz w:val="20"/>
          <w:szCs w:val="20"/>
        </w:rPr>
      </w:pPr>
    </w:p>
    <w:p w14:paraId="6435A5BC" w14:textId="77777777" w:rsidR="00E21B49" w:rsidRDefault="00E21B49">
      <w:pPr>
        <w:spacing w:line="380" w:lineRule="exact"/>
        <w:rPr>
          <w:sz w:val="20"/>
          <w:szCs w:val="20"/>
        </w:rPr>
      </w:pPr>
    </w:p>
    <w:p w14:paraId="79240F7C" w14:textId="77777777" w:rsidR="00E21B49" w:rsidRDefault="00000000">
      <w:pPr>
        <w:numPr>
          <w:ilvl w:val="0"/>
          <w:numId w:val="10"/>
        </w:numPr>
        <w:tabs>
          <w:tab w:val="left" w:pos="1080"/>
        </w:tabs>
        <w:ind w:left="1080" w:hanging="720"/>
        <w:rPr>
          <w:rFonts w:ascii="Arial" w:eastAsia="Arial" w:hAnsi="Arial" w:cs="Arial"/>
          <w:sz w:val="24"/>
          <w:szCs w:val="24"/>
        </w:rPr>
      </w:pPr>
      <w:r>
        <w:rPr>
          <w:rFonts w:ascii="Arial" w:eastAsia="Arial" w:hAnsi="Arial" w:cs="Arial"/>
          <w:sz w:val="24"/>
          <w:szCs w:val="24"/>
        </w:rPr>
        <w:t>DOCUMENTATION</w:t>
      </w:r>
    </w:p>
    <w:p w14:paraId="7773015A" w14:textId="77777777" w:rsidR="00E21B49" w:rsidRDefault="00E21B49">
      <w:pPr>
        <w:spacing w:line="313" w:lineRule="exact"/>
        <w:rPr>
          <w:sz w:val="20"/>
          <w:szCs w:val="20"/>
        </w:rPr>
      </w:pPr>
    </w:p>
    <w:p w14:paraId="1207DCE6" w14:textId="77777777" w:rsidR="00E21B49" w:rsidRDefault="00000000">
      <w:pPr>
        <w:spacing w:line="279" w:lineRule="auto"/>
        <w:ind w:left="360" w:right="740"/>
        <w:rPr>
          <w:sz w:val="20"/>
          <w:szCs w:val="20"/>
        </w:rPr>
      </w:pPr>
      <w:r>
        <w:rPr>
          <w:rFonts w:ascii="Arial" w:eastAsia="Arial" w:hAnsi="Arial" w:cs="Arial"/>
          <w:sz w:val="20"/>
          <w:szCs w:val="20"/>
        </w:rPr>
        <w:t>A Shipper's Declaration for Dangerous Goods is NOT required when shipping Category B substances that have been packaged according to PI 650.</w:t>
      </w:r>
    </w:p>
    <w:p w14:paraId="52B21921" w14:textId="77777777" w:rsidR="00E21B49" w:rsidRDefault="00E21B49">
      <w:pPr>
        <w:spacing w:line="292" w:lineRule="exact"/>
        <w:rPr>
          <w:sz w:val="20"/>
          <w:szCs w:val="20"/>
        </w:rPr>
      </w:pPr>
    </w:p>
    <w:p w14:paraId="157ADBF6" w14:textId="77777777" w:rsidR="00E21B49" w:rsidRDefault="00000000">
      <w:pPr>
        <w:ind w:left="360"/>
        <w:rPr>
          <w:sz w:val="20"/>
          <w:szCs w:val="20"/>
        </w:rPr>
      </w:pPr>
      <w:r>
        <w:rPr>
          <w:rFonts w:ascii="Arial" w:eastAsia="Arial" w:hAnsi="Arial" w:cs="Arial"/>
          <w:sz w:val="20"/>
          <w:szCs w:val="20"/>
        </w:rPr>
        <w:t>Other documents that are required for specimen shipment, especially when sending to</w:t>
      </w:r>
    </w:p>
    <w:p w14:paraId="25551F18" w14:textId="77777777" w:rsidR="00E21B49" w:rsidRDefault="00E21B49">
      <w:pPr>
        <w:spacing w:line="48" w:lineRule="exact"/>
        <w:rPr>
          <w:sz w:val="20"/>
          <w:szCs w:val="20"/>
        </w:rPr>
      </w:pPr>
    </w:p>
    <w:p w14:paraId="4D96B46F" w14:textId="77777777" w:rsidR="00E21B49" w:rsidRDefault="00000000">
      <w:pPr>
        <w:ind w:left="360"/>
        <w:rPr>
          <w:sz w:val="20"/>
          <w:szCs w:val="20"/>
        </w:rPr>
      </w:pPr>
      <w:r>
        <w:rPr>
          <w:rFonts w:ascii="Arial" w:eastAsia="Arial" w:hAnsi="Arial" w:cs="Arial"/>
          <w:sz w:val="20"/>
          <w:szCs w:val="20"/>
        </w:rPr>
        <w:t>VIDRL in Melbourne, Australia are:</w:t>
      </w:r>
    </w:p>
    <w:p w14:paraId="2994E290" w14:textId="77777777" w:rsidR="00E21B49" w:rsidRDefault="00E21B49">
      <w:pPr>
        <w:spacing w:line="337" w:lineRule="exact"/>
        <w:rPr>
          <w:sz w:val="20"/>
          <w:szCs w:val="20"/>
        </w:rPr>
      </w:pPr>
    </w:p>
    <w:p w14:paraId="4FC478CA" w14:textId="77777777" w:rsidR="00E21B49" w:rsidRDefault="00000000">
      <w:pPr>
        <w:numPr>
          <w:ilvl w:val="0"/>
          <w:numId w:val="11"/>
        </w:numPr>
        <w:tabs>
          <w:tab w:val="left" w:pos="1080"/>
        </w:tabs>
        <w:spacing w:line="284" w:lineRule="auto"/>
        <w:ind w:left="1080" w:right="360" w:hanging="720"/>
        <w:rPr>
          <w:rFonts w:ascii="Arial" w:eastAsia="Arial" w:hAnsi="Arial" w:cs="Arial"/>
          <w:sz w:val="20"/>
          <w:szCs w:val="20"/>
        </w:rPr>
      </w:pPr>
      <w:r>
        <w:rPr>
          <w:rFonts w:ascii="Arial" w:eastAsia="Arial" w:hAnsi="Arial" w:cs="Arial"/>
          <w:sz w:val="20"/>
          <w:szCs w:val="20"/>
        </w:rPr>
        <w:t>Customs Declaration (if required) [See Annex E1 &amp; E2 for examples of customs declarations for AFP/AFR samples sent to VIDRL Australia. Please ensure that you are using a valid import permit and samples are addressed to the correct laboratory]</w:t>
      </w:r>
    </w:p>
    <w:p w14:paraId="3F5ACC5A" w14:textId="77777777" w:rsidR="00E21B49" w:rsidRDefault="00E21B49">
      <w:pPr>
        <w:spacing w:line="128" w:lineRule="exact"/>
        <w:rPr>
          <w:rFonts w:ascii="Arial" w:eastAsia="Arial" w:hAnsi="Arial" w:cs="Arial"/>
          <w:sz w:val="20"/>
          <w:szCs w:val="20"/>
        </w:rPr>
      </w:pPr>
    </w:p>
    <w:p w14:paraId="195E72E9" w14:textId="77777777" w:rsidR="00E21B49" w:rsidRDefault="00000000">
      <w:pPr>
        <w:numPr>
          <w:ilvl w:val="0"/>
          <w:numId w:val="11"/>
        </w:numPr>
        <w:tabs>
          <w:tab w:val="left" w:pos="1080"/>
        </w:tabs>
        <w:ind w:left="1080" w:hanging="720"/>
        <w:rPr>
          <w:rFonts w:ascii="Arial" w:eastAsia="Arial" w:hAnsi="Arial" w:cs="Arial"/>
          <w:sz w:val="20"/>
          <w:szCs w:val="20"/>
        </w:rPr>
      </w:pPr>
      <w:r>
        <w:rPr>
          <w:rFonts w:ascii="Arial" w:eastAsia="Arial" w:hAnsi="Arial" w:cs="Arial"/>
          <w:sz w:val="20"/>
          <w:szCs w:val="20"/>
        </w:rPr>
        <w:t>Import permit (if applicable) [See Annex E3 for a sample import permit]</w:t>
      </w:r>
    </w:p>
    <w:p w14:paraId="576B22CB" w14:textId="77777777" w:rsidR="00E21B49" w:rsidRDefault="00E21B49">
      <w:pPr>
        <w:spacing w:line="200" w:lineRule="exact"/>
        <w:rPr>
          <w:sz w:val="20"/>
          <w:szCs w:val="20"/>
        </w:rPr>
      </w:pPr>
    </w:p>
    <w:p w14:paraId="4422B0E5" w14:textId="77777777" w:rsidR="00E21B49" w:rsidRDefault="00E21B49">
      <w:pPr>
        <w:spacing w:line="230" w:lineRule="exact"/>
        <w:rPr>
          <w:sz w:val="20"/>
          <w:szCs w:val="20"/>
        </w:rPr>
      </w:pPr>
    </w:p>
    <w:p w14:paraId="01E9114B" w14:textId="77777777" w:rsidR="00E21B49" w:rsidRDefault="00000000">
      <w:pPr>
        <w:numPr>
          <w:ilvl w:val="0"/>
          <w:numId w:val="12"/>
        </w:numPr>
        <w:tabs>
          <w:tab w:val="left" w:pos="1080"/>
        </w:tabs>
        <w:ind w:left="1080" w:hanging="720"/>
        <w:rPr>
          <w:rFonts w:ascii="Arial" w:eastAsia="Arial" w:hAnsi="Arial" w:cs="Arial"/>
          <w:sz w:val="24"/>
          <w:szCs w:val="24"/>
        </w:rPr>
      </w:pPr>
      <w:r>
        <w:rPr>
          <w:rFonts w:ascii="Arial" w:eastAsia="Arial" w:hAnsi="Arial" w:cs="Arial"/>
          <w:sz w:val="24"/>
          <w:szCs w:val="24"/>
        </w:rPr>
        <w:t>EXAMPLES OF PACKAGING AND LABELLING</w:t>
      </w:r>
    </w:p>
    <w:p w14:paraId="65492463" w14:textId="77777777" w:rsidR="00E21B49" w:rsidRDefault="00E21B49">
      <w:pPr>
        <w:spacing w:line="305" w:lineRule="exact"/>
        <w:rPr>
          <w:sz w:val="20"/>
          <w:szCs w:val="20"/>
        </w:rPr>
      </w:pPr>
    </w:p>
    <w:p w14:paraId="4205E85F" w14:textId="77777777" w:rsidR="00E21B49" w:rsidRDefault="00000000">
      <w:pPr>
        <w:ind w:left="360"/>
        <w:rPr>
          <w:sz w:val="20"/>
          <w:szCs w:val="20"/>
        </w:rPr>
      </w:pPr>
      <w:r>
        <w:rPr>
          <w:rFonts w:ascii="Arial" w:eastAsia="Arial" w:hAnsi="Arial" w:cs="Arial"/>
          <w:sz w:val="20"/>
          <w:szCs w:val="20"/>
        </w:rPr>
        <w:t>PI 650 Category B</w:t>
      </w:r>
    </w:p>
    <w:p w14:paraId="77B05F66" w14:textId="77777777" w:rsidR="00E21B49" w:rsidRDefault="00000000">
      <w:pPr>
        <w:spacing w:line="20" w:lineRule="exact"/>
        <w:rPr>
          <w:sz w:val="20"/>
          <w:szCs w:val="20"/>
        </w:rPr>
      </w:pPr>
      <w:r>
        <w:rPr>
          <w:noProof/>
          <w:sz w:val="20"/>
          <w:szCs w:val="20"/>
        </w:rPr>
        <w:drawing>
          <wp:anchor distT="0" distB="0" distL="114300" distR="114300" simplePos="0" relativeHeight="251658752" behindDoc="1" locked="0" layoutInCell="0" allowOverlap="1" wp14:anchorId="4CAAC422" wp14:editId="4E33193A">
            <wp:simplePos x="0" y="0"/>
            <wp:positionH relativeFrom="column">
              <wp:posOffset>571500</wp:posOffset>
            </wp:positionH>
            <wp:positionV relativeFrom="paragraph">
              <wp:posOffset>173355</wp:posOffset>
            </wp:positionV>
            <wp:extent cx="5170805" cy="47364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5170805" cy="4736465"/>
                    </a:xfrm>
                    <a:prstGeom prst="rect">
                      <a:avLst/>
                    </a:prstGeom>
                    <a:noFill/>
                  </pic:spPr>
                </pic:pic>
              </a:graphicData>
            </a:graphic>
          </wp:anchor>
        </w:drawing>
      </w:r>
    </w:p>
    <w:p w14:paraId="4448B28F" w14:textId="77777777" w:rsidR="00E21B49" w:rsidRDefault="00E21B49">
      <w:pPr>
        <w:spacing w:line="200" w:lineRule="exact"/>
        <w:rPr>
          <w:sz w:val="20"/>
          <w:szCs w:val="20"/>
        </w:rPr>
      </w:pPr>
    </w:p>
    <w:p w14:paraId="33F6DE02" w14:textId="77777777" w:rsidR="00E21B49" w:rsidRDefault="00E21B49">
      <w:pPr>
        <w:spacing w:line="200" w:lineRule="exact"/>
        <w:rPr>
          <w:sz w:val="20"/>
          <w:szCs w:val="20"/>
        </w:rPr>
      </w:pPr>
    </w:p>
    <w:p w14:paraId="20AFC633" w14:textId="77777777" w:rsidR="00E21B49" w:rsidRDefault="00E21B49">
      <w:pPr>
        <w:spacing w:line="200" w:lineRule="exact"/>
        <w:rPr>
          <w:sz w:val="20"/>
          <w:szCs w:val="20"/>
        </w:rPr>
      </w:pPr>
    </w:p>
    <w:p w14:paraId="12535358" w14:textId="77777777" w:rsidR="00E21B49" w:rsidRDefault="00E21B49">
      <w:pPr>
        <w:spacing w:line="200" w:lineRule="exact"/>
        <w:rPr>
          <w:sz w:val="20"/>
          <w:szCs w:val="20"/>
        </w:rPr>
      </w:pPr>
    </w:p>
    <w:p w14:paraId="21B10F04" w14:textId="77777777" w:rsidR="00E21B49" w:rsidRDefault="00E21B49">
      <w:pPr>
        <w:spacing w:line="200" w:lineRule="exact"/>
        <w:rPr>
          <w:sz w:val="20"/>
          <w:szCs w:val="20"/>
        </w:rPr>
      </w:pPr>
    </w:p>
    <w:p w14:paraId="2099E133" w14:textId="77777777" w:rsidR="00E21B49" w:rsidRDefault="00E21B49">
      <w:pPr>
        <w:spacing w:line="200" w:lineRule="exact"/>
        <w:rPr>
          <w:sz w:val="20"/>
          <w:szCs w:val="20"/>
        </w:rPr>
      </w:pPr>
    </w:p>
    <w:p w14:paraId="4A6125B6" w14:textId="77777777" w:rsidR="00E21B49" w:rsidRDefault="00E21B49">
      <w:pPr>
        <w:spacing w:line="200" w:lineRule="exact"/>
        <w:rPr>
          <w:sz w:val="20"/>
          <w:szCs w:val="20"/>
        </w:rPr>
      </w:pPr>
    </w:p>
    <w:p w14:paraId="0BF09C33" w14:textId="77777777" w:rsidR="00E21B49" w:rsidRDefault="00E21B49">
      <w:pPr>
        <w:spacing w:line="200" w:lineRule="exact"/>
        <w:rPr>
          <w:sz w:val="20"/>
          <w:szCs w:val="20"/>
        </w:rPr>
      </w:pPr>
    </w:p>
    <w:p w14:paraId="28A50547" w14:textId="77777777" w:rsidR="00E21B49" w:rsidRDefault="00E21B49">
      <w:pPr>
        <w:spacing w:line="200" w:lineRule="exact"/>
        <w:rPr>
          <w:sz w:val="20"/>
          <w:szCs w:val="20"/>
        </w:rPr>
      </w:pPr>
    </w:p>
    <w:p w14:paraId="5DC849D6" w14:textId="77777777" w:rsidR="00E21B49" w:rsidRDefault="00E21B49">
      <w:pPr>
        <w:spacing w:line="200" w:lineRule="exact"/>
        <w:rPr>
          <w:sz w:val="20"/>
          <w:szCs w:val="20"/>
        </w:rPr>
      </w:pPr>
    </w:p>
    <w:p w14:paraId="67C576CC" w14:textId="77777777" w:rsidR="00E21B49" w:rsidRDefault="00E21B49">
      <w:pPr>
        <w:spacing w:line="300" w:lineRule="exact"/>
        <w:rPr>
          <w:sz w:val="20"/>
          <w:szCs w:val="20"/>
        </w:rPr>
      </w:pPr>
    </w:p>
    <w:p w14:paraId="1D6B6B12" w14:textId="77777777" w:rsidR="00E21B49" w:rsidRDefault="00000000">
      <w:pPr>
        <w:ind w:left="6080"/>
        <w:rPr>
          <w:sz w:val="20"/>
          <w:szCs w:val="20"/>
        </w:rPr>
      </w:pPr>
      <w:r>
        <w:rPr>
          <w:rFonts w:ascii="Arial" w:eastAsia="Arial" w:hAnsi="Arial" w:cs="Arial"/>
          <w:color w:val="808080"/>
          <w:sz w:val="20"/>
          <w:szCs w:val="20"/>
        </w:rPr>
        <w:t>Ice Packs</w:t>
      </w:r>
    </w:p>
    <w:p w14:paraId="3CF747CA" w14:textId="77777777" w:rsidR="00E21B49" w:rsidRDefault="00E21B49">
      <w:pPr>
        <w:spacing w:line="200" w:lineRule="exact"/>
        <w:rPr>
          <w:sz w:val="20"/>
          <w:szCs w:val="20"/>
        </w:rPr>
      </w:pPr>
    </w:p>
    <w:p w14:paraId="7589D756" w14:textId="77777777" w:rsidR="00E21B49" w:rsidRDefault="00E21B49">
      <w:pPr>
        <w:spacing w:line="230" w:lineRule="exact"/>
        <w:rPr>
          <w:sz w:val="20"/>
          <w:szCs w:val="20"/>
        </w:rPr>
      </w:pPr>
    </w:p>
    <w:p w14:paraId="4416FEF8" w14:textId="77777777" w:rsidR="00E21B49" w:rsidRDefault="00000000">
      <w:pPr>
        <w:ind w:left="5640"/>
        <w:rPr>
          <w:sz w:val="20"/>
          <w:szCs w:val="20"/>
        </w:rPr>
      </w:pPr>
      <w:r>
        <w:rPr>
          <w:rFonts w:ascii="Arial" w:eastAsia="Arial" w:hAnsi="Arial" w:cs="Arial"/>
          <w:color w:val="808080"/>
          <w:sz w:val="20"/>
          <w:szCs w:val="20"/>
        </w:rPr>
        <w:t>Ice Packs</w:t>
      </w:r>
    </w:p>
    <w:p w14:paraId="41404C55" w14:textId="77777777" w:rsidR="00E21B49" w:rsidRDefault="00E21B49">
      <w:pPr>
        <w:sectPr w:rsidR="00E21B49">
          <w:pgSz w:w="12240" w:h="15840"/>
          <w:pgMar w:top="1440" w:right="1440" w:bottom="1440" w:left="1440" w:header="0" w:footer="0" w:gutter="0"/>
          <w:cols w:space="720" w:equalWidth="0">
            <w:col w:w="9360"/>
          </w:cols>
        </w:sectPr>
      </w:pPr>
    </w:p>
    <w:p w14:paraId="5ABD235B" w14:textId="77777777" w:rsidR="00E21B49" w:rsidRDefault="00E21B49">
      <w:pPr>
        <w:spacing w:line="200" w:lineRule="exact"/>
        <w:rPr>
          <w:sz w:val="20"/>
          <w:szCs w:val="20"/>
        </w:rPr>
      </w:pPr>
    </w:p>
    <w:p w14:paraId="25024908" w14:textId="77777777" w:rsidR="00E21B49" w:rsidRDefault="00E21B49">
      <w:pPr>
        <w:spacing w:line="200" w:lineRule="exact"/>
        <w:rPr>
          <w:sz w:val="20"/>
          <w:szCs w:val="20"/>
        </w:rPr>
      </w:pPr>
    </w:p>
    <w:p w14:paraId="63B86BC1" w14:textId="77777777" w:rsidR="00E21B49" w:rsidRDefault="00E21B49">
      <w:pPr>
        <w:spacing w:line="200" w:lineRule="exact"/>
        <w:rPr>
          <w:sz w:val="20"/>
          <w:szCs w:val="20"/>
        </w:rPr>
      </w:pPr>
    </w:p>
    <w:p w14:paraId="350ABFA1" w14:textId="77777777" w:rsidR="00E21B49" w:rsidRDefault="00E21B49">
      <w:pPr>
        <w:spacing w:line="200" w:lineRule="exact"/>
        <w:rPr>
          <w:sz w:val="20"/>
          <w:szCs w:val="20"/>
        </w:rPr>
      </w:pPr>
    </w:p>
    <w:p w14:paraId="78664845" w14:textId="77777777" w:rsidR="00E21B49" w:rsidRDefault="00E21B49">
      <w:pPr>
        <w:spacing w:line="200" w:lineRule="exact"/>
        <w:rPr>
          <w:sz w:val="20"/>
          <w:szCs w:val="20"/>
        </w:rPr>
      </w:pPr>
    </w:p>
    <w:p w14:paraId="06EF7588" w14:textId="77777777" w:rsidR="00E21B49" w:rsidRDefault="00E21B49">
      <w:pPr>
        <w:spacing w:line="200" w:lineRule="exact"/>
        <w:rPr>
          <w:sz w:val="20"/>
          <w:szCs w:val="20"/>
        </w:rPr>
      </w:pPr>
    </w:p>
    <w:p w14:paraId="2B7C9CA1" w14:textId="77777777" w:rsidR="00E21B49" w:rsidRDefault="00E21B49">
      <w:pPr>
        <w:spacing w:line="200" w:lineRule="exact"/>
        <w:rPr>
          <w:sz w:val="20"/>
          <w:szCs w:val="20"/>
        </w:rPr>
      </w:pPr>
    </w:p>
    <w:p w14:paraId="66918522" w14:textId="77777777" w:rsidR="00E21B49" w:rsidRDefault="00E21B49">
      <w:pPr>
        <w:spacing w:line="200" w:lineRule="exact"/>
        <w:rPr>
          <w:sz w:val="20"/>
          <w:szCs w:val="20"/>
        </w:rPr>
      </w:pPr>
    </w:p>
    <w:p w14:paraId="77AD4F7A" w14:textId="77777777" w:rsidR="00E21B49" w:rsidRDefault="00E21B49">
      <w:pPr>
        <w:spacing w:line="200" w:lineRule="exact"/>
        <w:rPr>
          <w:sz w:val="20"/>
          <w:szCs w:val="20"/>
        </w:rPr>
      </w:pPr>
    </w:p>
    <w:p w14:paraId="4ECEEB43" w14:textId="77777777" w:rsidR="00E21B49" w:rsidRDefault="00E21B49">
      <w:pPr>
        <w:spacing w:line="200" w:lineRule="exact"/>
        <w:rPr>
          <w:sz w:val="20"/>
          <w:szCs w:val="20"/>
        </w:rPr>
      </w:pPr>
    </w:p>
    <w:p w14:paraId="73245190" w14:textId="77777777" w:rsidR="00E21B49" w:rsidRDefault="00E21B49">
      <w:pPr>
        <w:spacing w:line="348" w:lineRule="exact"/>
        <w:rPr>
          <w:sz w:val="20"/>
          <w:szCs w:val="20"/>
        </w:rPr>
      </w:pPr>
    </w:p>
    <w:p w14:paraId="5359F48D" w14:textId="77777777" w:rsidR="00E21B49" w:rsidRDefault="00000000">
      <w:pPr>
        <w:ind w:left="7100"/>
        <w:rPr>
          <w:sz w:val="20"/>
          <w:szCs w:val="20"/>
        </w:rPr>
      </w:pPr>
      <w:r>
        <w:rPr>
          <w:rFonts w:ascii="Arial" w:eastAsia="Arial" w:hAnsi="Arial" w:cs="Arial"/>
          <w:color w:val="808080"/>
          <w:sz w:val="20"/>
          <w:szCs w:val="20"/>
        </w:rPr>
        <w:t>UN Marking</w:t>
      </w:r>
    </w:p>
    <w:sectPr w:rsidR="00E21B49">
      <w:type w:val="continuous"/>
      <w:pgSz w:w="12240" w:h="15840"/>
      <w:pgMar w:top="1440" w:right="1440" w:bottom="1440" w:left="1440" w:header="0" w:footer="0"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99"/>
    <w:multiLevelType w:val="hybridMultilevel"/>
    <w:tmpl w:val="78361812"/>
    <w:lvl w:ilvl="0" w:tplc="E9224554">
      <w:start w:val="1"/>
      <w:numFmt w:val="lowerLetter"/>
      <w:lvlText w:val="(%1)"/>
      <w:lvlJc w:val="left"/>
    </w:lvl>
    <w:lvl w:ilvl="1" w:tplc="04C8B040">
      <w:start w:val="1"/>
      <w:numFmt w:val="bullet"/>
      <w:lvlText w:val=" "/>
      <w:lvlJc w:val="left"/>
    </w:lvl>
    <w:lvl w:ilvl="2" w:tplc="01FEE866">
      <w:numFmt w:val="decimal"/>
      <w:lvlText w:val=""/>
      <w:lvlJc w:val="left"/>
    </w:lvl>
    <w:lvl w:ilvl="3" w:tplc="2B48ADF8">
      <w:numFmt w:val="decimal"/>
      <w:lvlText w:val=""/>
      <w:lvlJc w:val="left"/>
    </w:lvl>
    <w:lvl w:ilvl="4" w:tplc="B3A09BAE">
      <w:numFmt w:val="decimal"/>
      <w:lvlText w:val=""/>
      <w:lvlJc w:val="left"/>
    </w:lvl>
    <w:lvl w:ilvl="5" w:tplc="0422EFAE">
      <w:numFmt w:val="decimal"/>
      <w:lvlText w:val=""/>
      <w:lvlJc w:val="left"/>
    </w:lvl>
    <w:lvl w:ilvl="6" w:tplc="69B84128">
      <w:numFmt w:val="decimal"/>
      <w:lvlText w:val=""/>
      <w:lvlJc w:val="left"/>
    </w:lvl>
    <w:lvl w:ilvl="7" w:tplc="E8386AE4">
      <w:numFmt w:val="decimal"/>
      <w:lvlText w:val=""/>
      <w:lvlJc w:val="left"/>
    </w:lvl>
    <w:lvl w:ilvl="8" w:tplc="0E5AD29E">
      <w:numFmt w:val="decimal"/>
      <w:lvlText w:val=""/>
      <w:lvlJc w:val="left"/>
    </w:lvl>
  </w:abstractNum>
  <w:abstractNum w:abstractNumId="1" w15:restartNumberingAfterBreak="0">
    <w:nsid w:val="00000124"/>
    <w:multiLevelType w:val="hybridMultilevel"/>
    <w:tmpl w:val="83001E9A"/>
    <w:lvl w:ilvl="0" w:tplc="81947FD0">
      <w:start w:val="4"/>
      <w:numFmt w:val="decimal"/>
      <w:lvlText w:val="%1."/>
      <w:lvlJc w:val="left"/>
    </w:lvl>
    <w:lvl w:ilvl="1" w:tplc="F4A4C3F2">
      <w:numFmt w:val="decimal"/>
      <w:lvlText w:val=""/>
      <w:lvlJc w:val="left"/>
    </w:lvl>
    <w:lvl w:ilvl="2" w:tplc="C2A61608">
      <w:numFmt w:val="decimal"/>
      <w:lvlText w:val=""/>
      <w:lvlJc w:val="left"/>
    </w:lvl>
    <w:lvl w:ilvl="3" w:tplc="B41AD25E">
      <w:numFmt w:val="decimal"/>
      <w:lvlText w:val=""/>
      <w:lvlJc w:val="left"/>
    </w:lvl>
    <w:lvl w:ilvl="4" w:tplc="FFF4D00C">
      <w:numFmt w:val="decimal"/>
      <w:lvlText w:val=""/>
      <w:lvlJc w:val="left"/>
    </w:lvl>
    <w:lvl w:ilvl="5" w:tplc="E67221AA">
      <w:numFmt w:val="decimal"/>
      <w:lvlText w:val=""/>
      <w:lvlJc w:val="left"/>
    </w:lvl>
    <w:lvl w:ilvl="6" w:tplc="D64A9070">
      <w:numFmt w:val="decimal"/>
      <w:lvlText w:val=""/>
      <w:lvlJc w:val="left"/>
    </w:lvl>
    <w:lvl w:ilvl="7" w:tplc="A796BE76">
      <w:numFmt w:val="decimal"/>
      <w:lvlText w:val=""/>
      <w:lvlJc w:val="left"/>
    </w:lvl>
    <w:lvl w:ilvl="8" w:tplc="6F602878">
      <w:numFmt w:val="decimal"/>
      <w:lvlText w:val=""/>
      <w:lvlJc w:val="left"/>
    </w:lvl>
  </w:abstractNum>
  <w:abstractNum w:abstractNumId="2" w15:restartNumberingAfterBreak="0">
    <w:nsid w:val="00000F3E"/>
    <w:multiLevelType w:val="hybridMultilevel"/>
    <w:tmpl w:val="B9C8CC5A"/>
    <w:lvl w:ilvl="0" w:tplc="4C943258">
      <w:start w:val="3"/>
      <w:numFmt w:val="decimal"/>
      <w:lvlText w:val="%1."/>
      <w:lvlJc w:val="left"/>
    </w:lvl>
    <w:lvl w:ilvl="1" w:tplc="E2BE307C">
      <w:numFmt w:val="decimal"/>
      <w:lvlText w:val=""/>
      <w:lvlJc w:val="left"/>
    </w:lvl>
    <w:lvl w:ilvl="2" w:tplc="6F569450">
      <w:numFmt w:val="decimal"/>
      <w:lvlText w:val=""/>
      <w:lvlJc w:val="left"/>
    </w:lvl>
    <w:lvl w:ilvl="3" w:tplc="6F382E46">
      <w:numFmt w:val="decimal"/>
      <w:lvlText w:val=""/>
      <w:lvlJc w:val="left"/>
    </w:lvl>
    <w:lvl w:ilvl="4" w:tplc="B8E2571C">
      <w:numFmt w:val="decimal"/>
      <w:lvlText w:val=""/>
      <w:lvlJc w:val="left"/>
    </w:lvl>
    <w:lvl w:ilvl="5" w:tplc="64F8DC1A">
      <w:numFmt w:val="decimal"/>
      <w:lvlText w:val=""/>
      <w:lvlJc w:val="left"/>
    </w:lvl>
    <w:lvl w:ilvl="6" w:tplc="4C1A08FC">
      <w:numFmt w:val="decimal"/>
      <w:lvlText w:val=""/>
      <w:lvlJc w:val="left"/>
    </w:lvl>
    <w:lvl w:ilvl="7" w:tplc="15386F6C">
      <w:numFmt w:val="decimal"/>
      <w:lvlText w:val=""/>
      <w:lvlJc w:val="left"/>
    </w:lvl>
    <w:lvl w:ilvl="8" w:tplc="F3AC8EDA">
      <w:numFmt w:val="decimal"/>
      <w:lvlText w:val=""/>
      <w:lvlJc w:val="left"/>
    </w:lvl>
  </w:abstractNum>
  <w:abstractNum w:abstractNumId="3" w15:restartNumberingAfterBreak="0">
    <w:nsid w:val="00001547"/>
    <w:multiLevelType w:val="hybridMultilevel"/>
    <w:tmpl w:val="2D16EAA2"/>
    <w:lvl w:ilvl="0" w:tplc="CD4EE36C">
      <w:start w:val="1"/>
      <w:numFmt w:val="lowerLetter"/>
      <w:lvlText w:val="(%1)"/>
      <w:lvlJc w:val="left"/>
    </w:lvl>
    <w:lvl w:ilvl="1" w:tplc="59EA019A">
      <w:numFmt w:val="decimal"/>
      <w:lvlText w:val=""/>
      <w:lvlJc w:val="left"/>
    </w:lvl>
    <w:lvl w:ilvl="2" w:tplc="E4EAA66A">
      <w:numFmt w:val="decimal"/>
      <w:lvlText w:val=""/>
      <w:lvlJc w:val="left"/>
    </w:lvl>
    <w:lvl w:ilvl="3" w:tplc="AF4470CE">
      <w:numFmt w:val="decimal"/>
      <w:lvlText w:val=""/>
      <w:lvlJc w:val="left"/>
    </w:lvl>
    <w:lvl w:ilvl="4" w:tplc="1F6A9C30">
      <w:numFmt w:val="decimal"/>
      <w:lvlText w:val=""/>
      <w:lvlJc w:val="left"/>
    </w:lvl>
    <w:lvl w:ilvl="5" w:tplc="6C660118">
      <w:numFmt w:val="decimal"/>
      <w:lvlText w:val=""/>
      <w:lvlJc w:val="left"/>
    </w:lvl>
    <w:lvl w:ilvl="6" w:tplc="311A0F98">
      <w:numFmt w:val="decimal"/>
      <w:lvlText w:val=""/>
      <w:lvlJc w:val="left"/>
    </w:lvl>
    <w:lvl w:ilvl="7" w:tplc="808E2F04">
      <w:numFmt w:val="decimal"/>
      <w:lvlText w:val=""/>
      <w:lvlJc w:val="left"/>
    </w:lvl>
    <w:lvl w:ilvl="8" w:tplc="F1B2BE68">
      <w:numFmt w:val="decimal"/>
      <w:lvlText w:val=""/>
      <w:lvlJc w:val="left"/>
    </w:lvl>
  </w:abstractNum>
  <w:abstractNum w:abstractNumId="4" w15:restartNumberingAfterBreak="0">
    <w:nsid w:val="0000305E"/>
    <w:multiLevelType w:val="hybridMultilevel"/>
    <w:tmpl w:val="566848BA"/>
    <w:lvl w:ilvl="0" w:tplc="7FD0BBCA">
      <w:start w:val="1"/>
      <w:numFmt w:val="lowerLetter"/>
      <w:lvlText w:val="(%1)"/>
      <w:lvlJc w:val="left"/>
    </w:lvl>
    <w:lvl w:ilvl="1" w:tplc="C82E19AA">
      <w:numFmt w:val="decimal"/>
      <w:lvlText w:val=""/>
      <w:lvlJc w:val="left"/>
    </w:lvl>
    <w:lvl w:ilvl="2" w:tplc="F86CF53C">
      <w:numFmt w:val="decimal"/>
      <w:lvlText w:val=""/>
      <w:lvlJc w:val="left"/>
    </w:lvl>
    <w:lvl w:ilvl="3" w:tplc="7F6E153A">
      <w:numFmt w:val="decimal"/>
      <w:lvlText w:val=""/>
      <w:lvlJc w:val="left"/>
    </w:lvl>
    <w:lvl w:ilvl="4" w:tplc="A8BA6CC2">
      <w:numFmt w:val="decimal"/>
      <w:lvlText w:val=""/>
      <w:lvlJc w:val="left"/>
    </w:lvl>
    <w:lvl w:ilvl="5" w:tplc="D03C1CEA">
      <w:numFmt w:val="decimal"/>
      <w:lvlText w:val=""/>
      <w:lvlJc w:val="left"/>
    </w:lvl>
    <w:lvl w:ilvl="6" w:tplc="823463DA">
      <w:numFmt w:val="decimal"/>
      <w:lvlText w:val=""/>
      <w:lvlJc w:val="left"/>
    </w:lvl>
    <w:lvl w:ilvl="7" w:tplc="20D8833A">
      <w:numFmt w:val="decimal"/>
      <w:lvlText w:val=""/>
      <w:lvlJc w:val="left"/>
    </w:lvl>
    <w:lvl w:ilvl="8" w:tplc="C15C91F0">
      <w:numFmt w:val="decimal"/>
      <w:lvlText w:val=""/>
      <w:lvlJc w:val="left"/>
    </w:lvl>
  </w:abstractNum>
  <w:abstractNum w:abstractNumId="5" w15:restartNumberingAfterBreak="0">
    <w:nsid w:val="0000390C"/>
    <w:multiLevelType w:val="hybridMultilevel"/>
    <w:tmpl w:val="4FC0E0EE"/>
    <w:lvl w:ilvl="0" w:tplc="AF4C9590">
      <w:start w:val="2"/>
      <w:numFmt w:val="decimal"/>
      <w:lvlText w:val="%1."/>
      <w:lvlJc w:val="left"/>
    </w:lvl>
    <w:lvl w:ilvl="1" w:tplc="37E24D4C">
      <w:numFmt w:val="decimal"/>
      <w:lvlText w:val=""/>
      <w:lvlJc w:val="left"/>
    </w:lvl>
    <w:lvl w:ilvl="2" w:tplc="F658304C">
      <w:numFmt w:val="decimal"/>
      <w:lvlText w:val=""/>
      <w:lvlJc w:val="left"/>
    </w:lvl>
    <w:lvl w:ilvl="3" w:tplc="2B140630">
      <w:numFmt w:val="decimal"/>
      <w:lvlText w:val=""/>
      <w:lvlJc w:val="left"/>
    </w:lvl>
    <w:lvl w:ilvl="4" w:tplc="A9F25A44">
      <w:numFmt w:val="decimal"/>
      <w:lvlText w:val=""/>
      <w:lvlJc w:val="left"/>
    </w:lvl>
    <w:lvl w:ilvl="5" w:tplc="55727270">
      <w:numFmt w:val="decimal"/>
      <w:lvlText w:val=""/>
      <w:lvlJc w:val="left"/>
    </w:lvl>
    <w:lvl w:ilvl="6" w:tplc="8E5257E6">
      <w:numFmt w:val="decimal"/>
      <w:lvlText w:val=""/>
      <w:lvlJc w:val="left"/>
    </w:lvl>
    <w:lvl w:ilvl="7" w:tplc="87AC41F4">
      <w:numFmt w:val="decimal"/>
      <w:lvlText w:val=""/>
      <w:lvlJc w:val="left"/>
    </w:lvl>
    <w:lvl w:ilvl="8" w:tplc="8DAC82F4">
      <w:numFmt w:val="decimal"/>
      <w:lvlText w:val=""/>
      <w:lvlJc w:val="left"/>
    </w:lvl>
  </w:abstractNum>
  <w:abstractNum w:abstractNumId="6" w15:restartNumberingAfterBreak="0">
    <w:nsid w:val="0000440D"/>
    <w:multiLevelType w:val="hybridMultilevel"/>
    <w:tmpl w:val="7FBA773A"/>
    <w:lvl w:ilvl="0" w:tplc="5D5ADAB0">
      <w:start w:val="1"/>
      <w:numFmt w:val="lowerLetter"/>
      <w:lvlText w:val="(%1)"/>
      <w:lvlJc w:val="left"/>
    </w:lvl>
    <w:lvl w:ilvl="1" w:tplc="49965CAE">
      <w:numFmt w:val="decimal"/>
      <w:lvlText w:val=""/>
      <w:lvlJc w:val="left"/>
    </w:lvl>
    <w:lvl w:ilvl="2" w:tplc="E77E8F36">
      <w:numFmt w:val="decimal"/>
      <w:lvlText w:val=""/>
      <w:lvlJc w:val="left"/>
    </w:lvl>
    <w:lvl w:ilvl="3" w:tplc="B4C8EEAE">
      <w:numFmt w:val="decimal"/>
      <w:lvlText w:val=""/>
      <w:lvlJc w:val="left"/>
    </w:lvl>
    <w:lvl w:ilvl="4" w:tplc="51BAB340">
      <w:numFmt w:val="decimal"/>
      <w:lvlText w:val=""/>
      <w:lvlJc w:val="left"/>
    </w:lvl>
    <w:lvl w:ilvl="5" w:tplc="2BF81E1C">
      <w:numFmt w:val="decimal"/>
      <w:lvlText w:val=""/>
      <w:lvlJc w:val="left"/>
    </w:lvl>
    <w:lvl w:ilvl="6" w:tplc="75023BAE">
      <w:numFmt w:val="decimal"/>
      <w:lvlText w:val=""/>
      <w:lvlJc w:val="left"/>
    </w:lvl>
    <w:lvl w:ilvl="7" w:tplc="CB3A1CD6">
      <w:numFmt w:val="decimal"/>
      <w:lvlText w:val=""/>
      <w:lvlJc w:val="left"/>
    </w:lvl>
    <w:lvl w:ilvl="8" w:tplc="951E2086">
      <w:numFmt w:val="decimal"/>
      <w:lvlText w:val=""/>
      <w:lvlJc w:val="left"/>
    </w:lvl>
  </w:abstractNum>
  <w:abstractNum w:abstractNumId="7" w15:restartNumberingAfterBreak="0">
    <w:nsid w:val="0000491C"/>
    <w:multiLevelType w:val="hybridMultilevel"/>
    <w:tmpl w:val="8D36F108"/>
    <w:lvl w:ilvl="0" w:tplc="58923970">
      <w:start w:val="3"/>
      <w:numFmt w:val="lowerLetter"/>
      <w:lvlText w:val="(%1)"/>
      <w:lvlJc w:val="left"/>
    </w:lvl>
    <w:lvl w:ilvl="1" w:tplc="E41ED4B6">
      <w:numFmt w:val="decimal"/>
      <w:lvlText w:val=""/>
      <w:lvlJc w:val="left"/>
    </w:lvl>
    <w:lvl w:ilvl="2" w:tplc="F56821C0">
      <w:numFmt w:val="decimal"/>
      <w:lvlText w:val=""/>
      <w:lvlJc w:val="left"/>
    </w:lvl>
    <w:lvl w:ilvl="3" w:tplc="4766A8CC">
      <w:numFmt w:val="decimal"/>
      <w:lvlText w:val=""/>
      <w:lvlJc w:val="left"/>
    </w:lvl>
    <w:lvl w:ilvl="4" w:tplc="3602334A">
      <w:numFmt w:val="decimal"/>
      <w:lvlText w:val=""/>
      <w:lvlJc w:val="left"/>
    </w:lvl>
    <w:lvl w:ilvl="5" w:tplc="E58480DE">
      <w:numFmt w:val="decimal"/>
      <w:lvlText w:val=""/>
      <w:lvlJc w:val="left"/>
    </w:lvl>
    <w:lvl w:ilvl="6" w:tplc="521ED738">
      <w:numFmt w:val="decimal"/>
      <w:lvlText w:val=""/>
      <w:lvlJc w:val="left"/>
    </w:lvl>
    <w:lvl w:ilvl="7" w:tplc="41445C48">
      <w:numFmt w:val="decimal"/>
      <w:lvlText w:val=""/>
      <w:lvlJc w:val="left"/>
    </w:lvl>
    <w:lvl w:ilvl="8" w:tplc="CAF80246">
      <w:numFmt w:val="decimal"/>
      <w:lvlText w:val=""/>
      <w:lvlJc w:val="left"/>
    </w:lvl>
  </w:abstractNum>
  <w:abstractNum w:abstractNumId="8" w15:restartNumberingAfterBreak="0">
    <w:nsid w:val="00004D06"/>
    <w:multiLevelType w:val="hybridMultilevel"/>
    <w:tmpl w:val="26AA9822"/>
    <w:lvl w:ilvl="0" w:tplc="F890441E">
      <w:start w:val="5"/>
      <w:numFmt w:val="lowerLetter"/>
      <w:lvlText w:val="(%1)"/>
      <w:lvlJc w:val="left"/>
    </w:lvl>
    <w:lvl w:ilvl="1" w:tplc="AE3830FE">
      <w:numFmt w:val="decimal"/>
      <w:lvlText w:val=""/>
      <w:lvlJc w:val="left"/>
    </w:lvl>
    <w:lvl w:ilvl="2" w:tplc="0C7C49B8">
      <w:numFmt w:val="decimal"/>
      <w:lvlText w:val=""/>
      <w:lvlJc w:val="left"/>
    </w:lvl>
    <w:lvl w:ilvl="3" w:tplc="80F011E6">
      <w:numFmt w:val="decimal"/>
      <w:lvlText w:val=""/>
      <w:lvlJc w:val="left"/>
    </w:lvl>
    <w:lvl w:ilvl="4" w:tplc="EFFC5DAA">
      <w:numFmt w:val="decimal"/>
      <w:lvlText w:val=""/>
      <w:lvlJc w:val="left"/>
    </w:lvl>
    <w:lvl w:ilvl="5" w:tplc="A9722144">
      <w:numFmt w:val="decimal"/>
      <w:lvlText w:val=""/>
      <w:lvlJc w:val="left"/>
    </w:lvl>
    <w:lvl w:ilvl="6" w:tplc="B914A44C">
      <w:numFmt w:val="decimal"/>
      <w:lvlText w:val=""/>
      <w:lvlJc w:val="left"/>
    </w:lvl>
    <w:lvl w:ilvl="7" w:tplc="6CAC9D8E">
      <w:numFmt w:val="decimal"/>
      <w:lvlText w:val=""/>
      <w:lvlJc w:val="left"/>
    </w:lvl>
    <w:lvl w:ilvl="8" w:tplc="D6DE928E">
      <w:numFmt w:val="decimal"/>
      <w:lvlText w:val=""/>
      <w:lvlJc w:val="left"/>
    </w:lvl>
  </w:abstractNum>
  <w:abstractNum w:abstractNumId="9" w15:restartNumberingAfterBreak="0">
    <w:nsid w:val="00004DB7"/>
    <w:multiLevelType w:val="hybridMultilevel"/>
    <w:tmpl w:val="A4909DF4"/>
    <w:lvl w:ilvl="0" w:tplc="2DD0D5A4">
      <w:start w:val="5"/>
      <w:numFmt w:val="decimal"/>
      <w:lvlText w:val="%1."/>
      <w:lvlJc w:val="left"/>
    </w:lvl>
    <w:lvl w:ilvl="1" w:tplc="B47C6AAE">
      <w:numFmt w:val="decimal"/>
      <w:lvlText w:val=""/>
      <w:lvlJc w:val="left"/>
    </w:lvl>
    <w:lvl w:ilvl="2" w:tplc="007251E8">
      <w:numFmt w:val="decimal"/>
      <w:lvlText w:val=""/>
      <w:lvlJc w:val="left"/>
    </w:lvl>
    <w:lvl w:ilvl="3" w:tplc="823A52A2">
      <w:numFmt w:val="decimal"/>
      <w:lvlText w:val=""/>
      <w:lvlJc w:val="left"/>
    </w:lvl>
    <w:lvl w:ilvl="4" w:tplc="A00C9BD6">
      <w:numFmt w:val="decimal"/>
      <w:lvlText w:val=""/>
      <w:lvlJc w:val="left"/>
    </w:lvl>
    <w:lvl w:ilvl="5" w:tplc="0A70E99A">
      <w:numFmt w:val="decimal"/>
      <w:lvlText w:val=""/>
      <w:lvlJc w:val="left"/>
    </w:lvl>
    <w:lvl w:ilvl="6" w:tplc="77127264">
      <w:numFmt w:val="decimal"/>
      <w:lvlText w:val=""/>
      <w:lvlJc w:val="left"/>
    </w:lvl>
    <w:lvl w:ilvl="7" w:tplc="E260268E">
      <w:numFmt w:val="decimal"/>
      <w:lvlText w:val=""/>
      <w:lvlJc w:val="left"/>
    </w:lvl>
    <w:lvl w:ilvl="8" w:tplc="62D62C14">
      <w:numFmt w:val="decimal"/>
      <w:lvlText w:val=""/>
      <w:lvlJc w:val="left"/>
    </w:lvl>
  </w:abstractNum>
  <w:abstractNum w:abstractNumId="10" w15:restartNumberingAfterBreak="0">
    <w:nsid w:val="000054DE"/>
    <w:multiLevelType w:val="hybridMultilevel"/>
    <w:tmpl w:val="214816A6"/>
    <w:lvl w:ilvl="0" w:tplc="360E1340">
      <w:start w:val="6"/>
      <w:numFmt w:val="decimal"/>
      <w:lvlText w:val="%1."/>
      <w:lvlJc w:val="left"/>
    </w:lvl>
    <w:lvl w:ilvl="1" w:tplc="BF745672">
      <w:numFmt w:val="decimal"/>
      <w:lvlText w:val=""/>
      <w:lvlJc w:val="left"/>
    </w:lvl>
    <w:lvl w:ilvl="2" w:tplc="D03AE0DE">
      <w:numFmt w:val="decimal"/>
      <w:lvlText w:val=""/>
      <w:lvlJc w:val="left"/>
    </w:lvl>
    <w:lvl w:ilvl="3" w:tplc="2796F034">
      <w:numFmt w:val="decimal"/>
      <w:lvlText w:val=""/>
      <w:lvlJc w:val="left"/>
    </w:lvl>
    <w:lvl w:ilvl="4" w:tplc="A2F4E3C0">
      <w:numFmt w:val="decimal"/>
      <w:lvlText w:val=""/>
      <w:lvlJc w:val="left"/>
    </w:lvl>
    <w:lvl w:ilvl="5" w:tplc="F074359A">
      <w:numFmt w:val="decimal"/>
      <w:lvlText w:val=""/>
      <w:lvlJc w:val="left"/>
    </w:lvl>
    <w:lvl w:ilvl="6" w:tplc="ADB0D6B4">
      <w:numFmt w:val="decimal"/>
      <w:lvlText w:val=""/>
      <w:lvlJc w:val="left"/>
    </w:lvl>
    <w:lvl w:ilvl="7" w:tplc="714250A4">
      <w:numFmt w:val="decimal"/>
      <w:lvlText w:val=""/>
      <w:lvlJc w:val="left"/>
    </w:lvl>
    <w:lvl w:ilvl="8" w:tplc="3CBA2216">
      <w:numFmt w:val="decimal"/>
      <w:lvlText w:val=""/>
      <w:lvlJc w:val="left"/>
    </w:lvl>
  </w:abstractNum>
  <w:abstractNum w:abstractNumId="11" w15:restartNumberingAfterBreak="0">
    <w:nsid w:val="00007E87"/>
    <w:multiLevelType w:val="hybridMultilevel"/>
    <w:tmpl w:val="DBCCA584"/>
    <w:lvl w:ilvl="0" w:tplc="522E39BA">
      <w:start w:val="1"/>
      <w:numFmt w:val="decimal"/>
      <w:lvlText w:val="%1."/>
      <w:lvlJc w:val="left"/>
    </w:lvl>
    <w:lvl w:ilvl="1" w:tplc="060EA80E">
      <w:numFmt w:val="decimal"/>
      <w:lvlText w:val=""/>
      <w:lvlJc w:val="left"/>
    </w:lvl>
    <w:lvl w:ilvl="2" w:tplc="D28CD536">
      <w:numFmt w:val="decimal"/>
      <w:lvlText w:val=""/>
      <w:lvlJc w:val="left"/>
    </w:lvl>
    <w:lvl w:ilvl="3" w:tplc="0B46B8E2">
      <w:numFmt w:val="decimal"/>
      <w:lvlText w:val=""/>
      <w:lvlJc w:val="left"/>
    </w:lvl>
    <w:lvl w:ilvl="4" w:tplc="5D9EEBF6">
      <w:numFmt w:val="decimal"/>
      <w:lvlText w:val=""/>
      <w:lvlJc w:val="left"/>
    </w:lvl>
    <w:lvl w:ilvl="5" w:tplc="E850EA8A">
      <w:numFmt w:val="decimal"/>
      <w:lvlText w:val=""/>
      <w:lvlJc w:val="left"/>
    </w:lvl>
    <w:lvl w:ilvl="6" w:tplc="5E9A9F50">
      <w:numFmt w:val="decimal"/>
      <w:lvlText w:val=""/>
      <w:lvlJc w:val="left"/>
    </w:lvl>
    <w:lvl w:ilvl="7" w:tplc="4D9E1F8A">
      <w:numFmt w:val="decimal"/>
      <w:lvlText w:val=""/>
      <w:lvlJc w:val="left"/>
    </w:lvl>
    <w:lvl w:ilvl="8" w:tplc="48DA2370">
      <w:numFmt w:val="decimal"/>
      <w:lvlText w:val=""/>
      <w:lvlJc w:val="left"/>
    </w:lvl>
  </w:abstractNum>
  <w:num w:numId="1" w16cid:durableId="502206740">
    <w:abstractNumId w:val="11"/>
  </w:num>
  <w:num w:numId="2" w16cid:durableId="649558053">
    <w:abstractNumId w:val="5"/>
  </w:num>
  <w:num w:numId="3" w16cid:durableId="1631520912">
    <w:abstractNumId w:val="2"/>
  </w:num>
  <w:num w:numId="4" w16cid:durableId="370375257">
    <w:abstractNumId w:val="0"/>
  </w:num>
  <w:num w:numId="5" w16cid:durableId="239681901">
    <w:abstractNumId w:val="1"/>
  </w:num>
  <w:num w:numId="6" w16cid:durableId="1448350068">
    <w:abstractNumId w:val="4"/>
  </w:num>
  <w:num w:numId="7" w16cid:durableId="524634342">
    <w:abstractNumId w:val="6"/>
  </w:num>
  <w:num w:numId="8" w16cid:durableId="1519730900">
    <w:abstractNumId w:val="7"/>
  </w:num>
  <w:num w:numId="9" w16cid:durableId="608390313">
    <w:abstractNumId w:val="8"/>
  </w:num>
  <w:num w:numId="10" w16cid:durableId="1881553093">
    <w:abstractNumId w:val="9"/>
  </w:num>
  <w:num w:numId="11" w16cid:durableId="16662893">
    <w:abstractNumId w:val="3"/>
  </w:num>
  <w:num w:numId="12" w16cid:durableId="12376646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B49"/>
    <w:rsid w:val="006A1FA6"/>
    <w:rsid w:val="00E21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92742"/>
  <w15:docId w15:val="{5B485259-3880-4573-8D73-54C67A8F1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1142</Words>
  <Characters>6515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BONIFACIO, Raul</cp:lastModifiedBy>
  <cp:revision>2</cp:revision>
  <dcterms:created xsi:type="dcterms:W3CDTF">2023-06-13T02:23:00Z</dcterms:created>
  <dcterms:modified xsi:type="dcterms:W3CDTF">2023-06-13T02:23:00Z</dcterms:modified>
</cp:coreProperties>
</file>